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5680">
      <w:pPr>
        <w:snapToGrid w:val="0"/>
        <w:spacing w:line="300" w:lineRule="auto"/>
        <w:jc w:val="center"/>
        <w:rPr>
          <w:rFonts w:ascii="Arial" w:hAnsi="Arial" w:eastAsia="宋体" w:cs="Arial"/>
        </w:rPr>
      </w:pPr>
      <w:bookmarkStart w:id="0" w:name="_GoBack"/>
      <w:bookmarkEnd w:id="0"/>
      <w:r>
        <w:rPr>
          <w:rFonts w:ascii="Arial" w:hAnsi="Arial" w:eastAsia="宋体" w:cs="Arial"/>
          <w:spacing w:val="-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4D0B5373">
      <w:pPr>
        <w:snapToGrid w:val="0"/>
        <w:spacing w:line="300" w:lineRule="auto"/>
        <w:rPr>
          <w:rFonts w:ascii="Arial" w:hAnsi="Arial" w:eastAsia="宋体" w:cs="Arial"/>
        </w:rPr>
      </w:pPr>
    </w:p>
    <w:p w14:paraId="468D52A5">
      <w:pPr>
        <w:snapToGrid w:val="0"/>
        <w:spacing w:before="11" w:line="300" w:lineRule="auto"/>
        <w:rPr>
          <w:rFonts w:ascii="Arial" w:hAnsi="Arial" w:eastAsia="宋体" w:cs="Arial"/>
        </w:rPr>
      </w:pPr>
    </w:p>
    <w:p w14:paraId="3628F64D">
      <w:pPr>
        <w:snapToGrid w:val="0"/>
        <w:spacing w:line="300" w:lineRule="auto"/>
        <w:jc w:val="center"/>
        <w:rPr>
          <w:rFonts w:ascii="Arial" w:hAnsi="Arial" w:eastAsia="宋体" w:cs="Arial"/>
          <w:b/>
          <w:bCs/>
          <w:sz w:val="28"/>
          <w:szCs w:val="28"/>
        </w:rPr>
      </w:pPr>
      <w:r>
        <w:rPr>
          <w:rFonts w:ascii="Arial" w:hAnsi="Arial" w:eastAsia="宋体" w:cs="Arial"/>
          <w:b/>
          <w:bCs/>
          <w:sz w:val="28"/>
          <w:szCs w:val="28"/>
        </w:rPr>
        <w:t>电动台和多功能理疗台准备上市前通告[510(k)]申请的指南</w:t>
      </w:r>
    </w:p>
    <w:p w14:paraId="6D55D4DD">
      <w:pPr>
        <w:snapToGrid w:val="0"/>
        <w:spacing w:line="300" w:lineRule="auto"/>
        <w:jc w:val="center"/>
        <w:rPr>
          <w:rFonts w:ascii="Arial" w:hAnsi="Arial" w:eastAsia="宋体" w:cs="Arial"/>
        </w:rPr>
      </w:pPr>
    </w:p>
    <w:p w14:paraId="10D4202B">
      <w:pPr>
        <w:snapToGrid w:val="0"/>
        <w:spacing w:line="300" w:lineRule="auto"/>
        <w:jc w:val="center"/>
        <w:rPr>
          <w:rFonts w:ascii="Arial" w:hAnsi="Arial" w:eastAsia="宋体" w:cs="Arial"/>
          <w:b/>
          <w:bCs/>
        </w:rPr>
      </w:pPr>
      <w:r>
        <w:rPr>
          <w:rFonts w:ascii="Arial" w:hAnsi="Arial" w:eastAsia="宋体" w:cs="Arial"/>
          <w:b/>
          <w:bCs/>
        </w:rPr>
        <w:t>1995年7月26日</w:t>
      </w:r>
    </w:p>
    <w:p w14:paraId="34E2CB18">
      <w:pPr>
        <w:snapToGrid w:val="0"/>
        <w:spacing w:line="300" w:lineRule="auto"/>
        <w:jc w:val="center"/>
        <w:rPr>
          <w:rFonts w:ascii="Arial" w:hAnsi="Arial" w:eastAsia="宋体" w:cs="Arial"/>
          <w:bCs/>
        </w:rPr>
      </w:pPr>
      <w:r>
        <w:rPr>
          <w:rFonts w:ascii="Arial" w:hAnsi="Arial" w:eastAsia="宋体" w:cs="Arial"/>
          <w:bCs/>
        </w:rPr>
        <w:t>（于1997年12月18日再次修订）</w:t>
      </w:r>
    </w:p>
    <w:p w14:paraId="7B961768">
      <w:pPr>
        <w:snapToGrid w:val="0"/>
        <w:spacing w:line="300" w:lineRule="auto"/>
        <w:jc w:val="center"/>
        <w:rPr>
          <w:rFonts w:ascii="Arial" w:hAnsi="Arial" w:eastAsia="宋体" w:cs="Arial"/>
        </w:rPr>
      </w:pPr>
    </w:p>
    <w:p w14:paraId="480CD9C1">
      <w:pPr>
        <w:snapToGrid w:val="0"/>
        <w:spacing w:line="300" w:lineRule="auto"/>
        <w:rPr>
          <w:rFonts w:ascii="Arial" w:hAnsi="Arial" w:eastAsia="宋体" w:cs="Arial"/>
        </w:rPr>
      </w:pPr>
    </w:p>
    <w:p w14:paraId="300AAD63">
      <w:pPr>
        <w:snapToGrid w:val="0"/>
        <w:spacing w:line="300" w:lineRule="auto"/>
        <w:rPr>
          <w:rFonts w:ascii="Arial" w:hAnsi="Arial" w:eastAsia="宋体" w:cs="Arial"/>
        </w:rPr>
      </w:pPr>
    </w:p>
    <w:p w14:paraId="24AA7480">
      <w:pPr>
        <w:snapToGrid w:val="0"/>
        <w:spacing w:line="300" w:lineRule="auto"/>
        <w:rPr>
          <w:rFonts w:ascii="Arial" w:hAnsi="Arial" w:eastAsia="宋体" w:cs="Arial"/>
        </w:rPr>
      </w:pPr>
    </w:p>
    <w:p w14:paraId="3A441B8E">
      <w:pPr>
        <w:snapToGrid w:val="0"/>
        <w:spacing w:line="300" w:lineRule="auto"/>
        <w:rPr>
          <w:rFonts w:ascii="Arial" w:hAnsi="Arial" w:eastAsia="宋体" w:cs="Arial"/>
        </w:rPr>
      </w:pPr>
    </w:p>
    <w:p w14:paraId="61E1F43F">
      <w:pPr>
        <w:snapToGrid w:val="0"/>
        <w:spacing w:before="11" w:line="300" w:lineRule="auto"/>
        <w:rPr>
          <w:rFonts w:ascii="Arial" w:hAnsi="Arial" w:eastAsia="宋体" w:cs="Arial"/>
          <w:sz w:val="25"/>
          <w:szCs w:val="25"/>
        </w:rPr>
      </w:pPr>
    </w:p>
    <w:p w14:paraId="6B8FCA03">
      <w:pPr>
        <w:snapToGrid w:val="0"/>
        <w:spacing w:line="300" w:lineRule="auto"/>
        <w:rPr>
          <w:rFonts w:ascii="Arial" w:hAnsi="Arial" w:eastAsia="宋体" w:cs="Arial"/>
          <w:bCs/>
        </w:rPr>
      </w:pPr>
      <w:r>
        <w:rPr>
          <w:rFonts w:ascii="Arial" w:hAnsi="Arial" w:eastAsia="宋体" w:cs="Arial"/>
          <w:bCs/>
        </w:rPr>
        <w:t>本指导性文件可能引用了一些现在已经</w:t>
      </w:r>
      <w:r>
        <w:rPr>
          <w:rFonts w:hint="eastAsia" w:ascii="Arial" w:hAnsi="Arial" w:eastAsia="宋体" w:cs="Arial"/>
          <w:bCs/>
        </w:rPr>
        <w:t>弃用</w:t>
      </w:r>
      <w:r>
        <w:rPr>
          <w:rFonts w:ascii="Arial" w:hAnsi="Arial" w:eastAsia="宋体" w:cs="Arial"/>
          <w:bCs/>
        </w:rPr>
        <w:t>的地址和电话号码。请使用以下联系信息：</w:t>
      </w:r>
    </w:p>
    <w:p w14:paraId="0645C4A9">
      <w:pPr>
        <w:pStyle w:val="12"/>
        <w:numPr>
          <w:ilvl w:val="0"/>
          <w:numId w:val="1"/>
        </w:numPr>
        <w:snapToGrid w:val="0"/>
        <w:spacing w:line="300" w:lineRule="auto"/>
        <w:jc w:val="both"/>
        <w:rPr>
          <w:rFonts w:ascii="Arial" w:hAnsi="Arial" w:eastAsia="宋体" w:cs="Arial"/>
          <w:bCs/>
          <w:sz w:val="24"/>
          <w:szCs w:val="24"/>
        </w:rPr>
      </w:pPr>
      <w:r>
        <w:rPr>
          <w:rFonts w:ascii="Arial" w:hAnsi="Arial" w:eastAsia="宋体" w:cs="Arial"/>
          <w:bCs/>
          <w:sz w:val="24"/>
          <w:szCs w:val="24"/>
        </w:rPr>
        <w:t>尽管本指导性文件为最终文件，但贵公司</w:t>
      </w:r>
      <w:r>
        <w:rPr>
          <w:rFonts w:ascii="Arial" w:hAnsi="Arial" w:eastAsia="宋体" w:cs="Arial"/>
          <w:sz w:val="24"/>
          <w:szCs w:val="24"/>
        </w:rPr>
        <w:t>可以随时向本审查机构</w:t>
      </w:r>
      <w:r>
        <w:rPr>
          <w:rFonts w:ascii="Arial" w:hAnsi="Arial" w:eastAsia="宋体" w:cs="Arial"/>
          <w:bCs/>
          <w:sz w:val="24"/>
          <w:szCs w:val="24"/>
        </w:rPr>
        <w:t>修复器械分部</w:t>
      </w:r>
      <w:r>
        <w:rPr>
          <w:rFonts w:ascii="Arial" w:hAnsi="Arial" w:eastAsia="宋体" w:cs="Arial"/>
          <w:sz w:val="24"/>
          <w:szCs w:val="24"/>
        </w:rPr>
        <w:t>提交评论和建议</w:t>
      </w:r>
      <w:r>
        <w:rPr>
          <w:rFonts w:ascii="Arial" w:hAnsi="Arial" w:eastAsia="宋体" w:cs="Arial"/>
          <w:bCs/>
          <w:sz w:val="24"/>
          <w:szCs w:val="24"/>
        </w:rPr>
        <w:t>，9200 Corporate Blvd.，HFZ-410，Rockville，MD 20850。</w:t>
      </w:r>
    </w:p>
    <w:p w14:paraId="3D964CB4">
      <w:pPr>
        <w:pStyle w:val="12"/>
        <w:numPr>
          <w:ilvl w:val="0"/>
          <w:numId w:val="1"/>
        </w:numPr>
        <w:snapToGrid w:val="0"/>
        <w:spacing w:line="300" w:lineRule="auto"/>
        <w:jc w:val="both"/>
        <w:rPr>
          <w:rFonts w:ascii="Arial" w:hAnsi="Arial" w:eastAsia="宋体" w:cs="Arial"/>
          <w:bCs/>
          <w:sz w:val="24"/>
          <w:szCs w:val="24"/>
          <w:lang w:eastAsia="zh-CN"/>
        </w:rPr>
      </w:pPr>
      <w:r>
        <w:rPr>
          <w:rFonts w:ascii="Arial" w:hAnsi="Arial" w:eastAsia="宋体" w:cs="Arial"/>
          <w:bCs/>
          <w:sz w:val="24"/>
          <w:szCs w:val="24"/>
          <w:lang w:eastAsia="zh-CN"/>
        </w:rPr>
        <w:t>有关使用或解释本指南的问题，请致电301-594-1296与修复器械分部联系。</w:t>
      </w:r>
    </w:p>
    <w:p w14:paraId="4A096FE7">
      <w:pPr>
        <w:pStyle w:val="12"/>
        <w:numPr>
          <w:ilvl w:val="0"/>
          <w:numId w:val="1"/>
        </w:numPr>
        <w:snapToGrid w:val="0"/>
        <w:spacing w:line="300" w:lineRule="auto"/>
        <w:jc w:val="both"/>
        <w:rPr>
          <w:rFonts w:ascii="Arial" w:hAnsi="Arial" w:eastAsia="宋体" w:cs="Arial"/>
          <w:sz w:val="24"/>
          <w:szCs w:val="24"/>
        </w:rPr>
      </w:pPr>
      <w:r>
        <w:rPr>
          <w:rFonts w:ascii="Arial" w:hAnsi="Arial" w:eastAsia="宋体" w:cs="Arial"/>
          <w:bCs/>
          <w:sz w:val="24"/>
          <w:szCs w:val="24"/>
        </w:rPr>
        <w:t>如需联系</w:t>
      </w:r>
      <w:r>
        <w:rPr>
          <w:rFonts w:ascii="Arial" w:hAnsi="Arial" w:eastAsia="宋体" w:cs="Arial"/>
          <w:sz w:val="24"/>
          <w:szCs w:val="24"/>
        </w:rPr>
        <w:t>小型制造商协助司</w:t>
      </w:r>
      <w:r>
        <w:rPr>
          <w:rFonts w:ascii="Arial" w:hAnsi="Arial" w:eastAsia="宋体" w:cs="Arial"/>
          <w:bCs/>
          <w:sz w:val="24"/>
          <w:szCs w:val="24"/>
        </w:rPr>
        <w:t>（DSMA），请致电800-638-2041或301-443-6597；传真301-443-8818；发送电子邮件至dsmo@cdrh.fda.gov；或写信至DSMA（HFZ-200），食品药品监督管理局，1350 Piccard Drive，Rockville，Maryland 20850-4307。最新信息和经营政策及程序也可随时访问资源索取自动回传系统（800-899-0381或301-827-0111）和万维网（CDRH主页：http：//www.fda.gov/cdrh/index.html）。</w:t>
      </w:r>
    </w:p>
    <w:p w14:paraId="7E1D1480">
      <w:pPr>
        <w:snapToGrid w:val="0"/>
        <w:spacing w:line="300" w:lineRule="auto"/>
        <w:jc w:val="both"/>
        <w:rPr>
          <w:rFonts w:ascii="Arial" w:hAnsi="Arial" w:eastAsia="宋体" w:cs="Arial"/>
          <w:b/>
          <w:bCs/>
        </w:rPr>
      </w:pPr>
    </w:p>
    <w:p w14:paraId="23652AA9">
      <w:pPr>
        <w:snapToGrid w:val="0"/>
        <w:spacing w:line="300" w:lineRule="auto"/>
        <w:jc w:val="both"/>
        <w:rPr>
          <w:rFonts w:ascii="Arial" w:hAnsi="Arial" w:eastAsia="宋体" w:cs="Arial"/>
          <w:b/>
          <w:bCs/>
        </w:rPr>
      </w:pPr>
    </w:p>
    <w:p w14:paraId="7B226C75">
      <w:pPr>
        <w:snapToGrid w:val="0"/>
        <w:spacing w:line="300" w:lineRule="auto"/>
        <w:jc w:val="both"/>
        <w:rPr>
          <w:rFonts w:ascii="Arial" w:hAnsi="Arial" w:eastAsia="宋体" w:cs="Arial"/>
          <w:b/>
          <w:bCs/>
        </w:rPr>
      </w:pPr>
    </w:p>
    <w:p w14:paraId="72A7C740">
      <w:pPr>
        <w:snapToGrid w:val="0"/>
        <w:spacing w:line="300" w:lineRule="auto"/>
        <w:jc w:val="both"/>
        <w:rPr>
          <w:rFonts w:ascii="Arial" w:hAnsi="Arial" w:eastAsia="宋体" w:cs="Arial"/>
          <w:b/>
          <w:bCs/>
        </w:rPr>
      </w:pPr>
    </w:p>
    <w:p w14:paraId="2993E11B">
      <w:pPr>
        <w:snapToGrid w:val="0"/>
        <w:spacing w:line="300" w:lineRule="auto"/>
        <w:jc w:val="both"/>
        <w:rPr>
          <w:rFonts w:ascii="Arial" w:hAnsi="Arial" w:eastAsia="宋体" w:cs="Arial"/>
          <w:b/>
          <w:bCs/>
        </w:rPr>
      </w:pPr>
    </w:p>
    <w:p w14:paraId="25584673">
      <w:pPr>
        <w:snapToGrid w:val="0"/>
        <w:spacing w:line="300" w:lineRule="auto"/>
        <w:jc w:val="both"/>
        <w:rPr>
          <w:rFonts w:ascii="Arial" w:hAnsi="Arial" w:eastAsia="宋体" w:cs="Arial"/>
          <w:b/>
          <w:bCs/>
        </w:rPr>
      </w:pPr>
    </w:p>
    <w:p w14:paraId="68BE1F99">
      <w:pPr>
        <w:snapToGrid w:val="0"/>
        <w:spacing w:line="300" w:lineRule="auto"/>
        <w:jc w:val="both"/>
        <w:rPr>
          <w:rFonts w:ascii="Arial" w:hAnsi="Arial" w:eastAsia="宋体" w:cs="Arial"/>
          <w:b/>
          <w:bCs/>
        </w:rPr>
      </w:pPr>
    </w:p>
    <w:p w14:paraId="6AD0CC60">
      <w:pPr>
        <w:snapToGrid w:val="0"/>
        <w:spacing w:line="300" w:lineRule="auto"/>
        <w:jc w:val="center"/>
        <w:rPr>
          <w:rFonts w:ascii="Arial" w:hAnsi="Arial" w:eastAsia="宋体" w:cs="Arial"/>
          <w:bCs/>
        </w:rPr>
      </w:pPr>
      <w:r>
        <w:rPr>
          <w:rFonts w:ascii="Arial" w:hAnsi="Arial" w:eastAsia="宋体" w:cs="Arial"/>
          <w:bCs/>
        </w:rPr>
        <w:t>美国卫生与公众服务部</w:t>
      </w:r>
    </w:p>
    <w:p w14:paraId="6716DAF0">
      <w:pPr>
        <w:snapToGrid w:val="0"/>
        <w:spacing w:line="300" w:lineRule="auto"/>
        <w:jc w:val="center"/>
        <w:rPr>
          <w:rFonts w:ascii="Arial" w:hAnsi="Arial" w:eastAsia="宋体" w:cs="Arial"/>
          <w:bCs/>
        </w:rPr>
      </w:pPr>
      <w:r>
        <w:rPr>
          <w:rFonts w:ascii="Arial" w:hAnsi="Arial" w:eastAsia="宋体" w:cs="Arial"/>
          <w:bCs/>
        </w:rPr>
        <w:t>食品药品监督管理局</w:t>
      </w:r>
    </w:p>
    <w:p w14:paraId="2FFFE58E">
      <w:pPr>
        <w:snapToGrid w:val="0"/>
        <w:spacing w:line="300" w:lineRule="auto"/>
        <w:jc w:val="center"/>
        <w:rPr>
          <w:rFonts w:ascii="Arial" w:hAnsi="Arial" w:eastAsia="宋体" w:cs="Arial"/>
          <w:bCs/>
        </w:rPr>
      </w:pPr>
      <w:r>
        <w:rPr>
          <w:rFonts w:ascii="Arial" w:hAnsi="Arial" w:eastAsia="宋体" w:cs="Arial"/>
          <w:bCs/>
        </w:rPr>
        <w:t>器械</w:t>
      </w:r>
      <w:r>
        <w:rPr>
          <w:rFonts w:hint="eastAsia" w:ascii="Arial" w:hAnsi="Arial" w:eastAsia="宋体" w:cs="Arial"/>
          <w:bCs/>
        </w:rPr>
        <w:t>和</w:t>
      </w:r>
      <w:r>
        <w:rPr>
          <w:rFonts w:ascii="Arial" w:hAnsi="Arial" w:eastAsia="宋体" w:cs="Arial"/>
          <w:bCs/>
        </w:rPr>
        <w:t>放射</w:t>
      </w:r>
      <w:r>
        <w:rPr>
          <w:rFonts w:hint="eastAsia" w:ascii="Arial" w:hAnsi="Arial" w:eastAsia="宋体" w:cs="Arial"/>
          <w:bCs/>
        </w:rPr>
        <w:t>卫生</w:t>
      </w:r>
      <w:r>
        <w:rPr>
          <w:rFonts w:ascii="Arial" w:hAnsi="Arial" w:eastAsia="宋体" w:cs="Arial"/>
          <w:bCs/>
        </w:rPr>
        <w:t>中心</w:t>
      </w:r>
    </w:p>
    <w:p w14:paraId="72DA2A36">
      <w:pPr>
        <w:snapToGrid w:val="0"/>
        <w:spacing w:line="300" w:lineRule="auto"/>
        <w:jc w:val="center"/>
        <w:rPr>
          <w:rFonts w:ascii="Arial" w:hAnsi="Arial" w:eastAsia="宋体" w:cs="Arial"/>
          <w:bCs/>
        </w:rPr>
      </w:pPr>
      <w:r>
        <w:rPr>
          <w:rFonts w:ascii="Arial" w:hAnsi="Arial" w:eastAsia="宋体" w:cs="Arial"/>
          <w:bCs/>
        </w:rPr>
        <w:t>Rockville，MD 20850</w:t>
      </w:r>
    </w:p>
    <w:p w14:paraId="02C1180C">
      <w:pPr>
        <w:pStyle w:val="3"/>
        <w:snapToGrid w:val="0"/>
        <w:spacing w:before="49" w:line="300" w:lineRule="auto"/>
        <w:ind w:left="0"/>
        <w:jc w:val="both"/>
        <w:rPr>
          <w:rFonts w:ascii="Arial" w:hAnsi="Arial" w:eastAsia="宋体" w:cs="Arial"/>
          <w:spacing w:val="-6"/>
          <w:lang w:eastAsia="zh-CN"/>
        </w:rPr>
      </w:pPr>
    </w:p>
    <w:p w14:paraId="637CC5EC">
      <w:pPr>
        <w:pStyle w:val="3"/>
        <w:snapToGrid w:val="0"/>
        <w:spacing w:before="49" w:line="300" w:lineRule="auto"/>
        <w:ind w:left="0"/>
        <w:jc w:val="both"/>
        <w:rPr>
          <w:rFonts w:ascii="Arial" w:hAnsi="Arial" w:eastAsia="宋体" w:cs="Arial"/>
          <w:spacing w:val="-3"/>
          <w:w w:val="99"/>
          <w:sz w:val="32"/>
          <w:szCs w:val="32"/>
          <w:lang w:eastAsia="zh-CN"/>
        </w:rPr>
      </w:pPr>
      <w:r>
        <w:rPr>
          <w:rFonts w:ascii="Arial" w:hAnsi="Arial" w:eastAsia="宋体" w:cs="Arial"/>
          <w:spacing w:val="-3"/>
          <w:w w:val="99"/>
          <w:sz w:val="32"/>
          <w:szCs w:val="32"/>
          <w:lang w:eastAsia="zh-CN"/>
        </w:rPr>
        <w:t>前言</w:t>
      </w:r>
    </w:p>
    <w:p w14:paraId="46F1139E">
      <w:pPr>
        <w:pStyle w:val="3"/>
        <w:snapToGrid w:val="0"/>
        <w:spacing w:before="49" w:line="300" w:lineRule="auto"/>
        <w:ind w:left="0"/>
        <w:jc w:val="both"/>
        <w:rPr>
          <w:rFonts w:ascii="Arial" w:hAnsi="Arial" w:eastAsia="宋体" w:cs="Arial"/>
          <w:b w:val="0"/>
          <w:bCs w:val="0"/>
          <w:sz w:val="32"/>
          <w:szCs w:val="32"/>
          <w:lang w:eastAsia="zh-CN"/>
        </w:rPr>
      </w:pPr>
    </w:p>
    <w:p w14:paraId="5BCAC375">
      <w:pPr>
        <w:snapToGrid w:val="0"/>
        <w:spacing w:before="2" w:line="300" w:lineRule="auto"/>
        <w:jc w:val="both"/>
        <w:rPr>
          <w:rFonts w:ascii="Arial" w:hAnsi="Arial" w:eastAsia="宋体" w:cs="Arial"/>
        </w:rPr>
      </w:pPr>
      <w:r>
        <w:rPr>
          <w:rFonts w:ascii="Arial" w:hAnsi="Arial" w:eastAsia="宋体" w:cs="Arial"/>
        </w:rPr>
        <w:t>本文件的目的在于为修复器械的上市前通告[510（k）]申请的申办方提供指南。本文件旨在协助申办方组织和提供应提交给</w:t>
      </w:r>
      <w:r>
        <w:rPr>
          <w:rFonts w:ascii="Arial" w:hAnsi="Arial" w:eastAsia="宋体" w:cs="Arial"/>
          <w:bCs/>
        </w:rPr>
        <w:t>食品药品监督管理局</w:t>
      </w:r>
      <w:r>
        <w:rPr>
          <w:rFonts w:ascii="Arial" w:hAnsi="Arial" w:eastAsia="宋体" w:cs="Arial"/>
        </w:rPr>
        <w:t>（FDA）进行审查的基本信息。</w:t>
      </w:r>
    </w:p>
    <w:p w14:paraId="0CB94842">
      <w:pPr>
        <w:snapToGrid w:val="0"/>
        <w:spacing w:before="2" w:line="300" w:lineRule="auto"/>
        <w:jc w:val="both"/>
        <w:rPr>
          <w:rFonts w:ascii="Arial" w:hAnsi="Arial" w:eastAsia="宋体" w:cs="Arial"/>
        </w:rPr>
      </w:pPr>
    </w:p>
    <w:p w14:paraId="4BFCDB36">
      <w:pPr>
        <w:snapToGrid w:val="0"/>
        <w:spacing w:before="2" w:line="300" w:lineRule="auto"/>
        <w:jc w:val="both"/>
        <w:rPr>
          <w:rFonts w:ascii="Arial" w:hAnsi="Arial" w:eastAsia="宋体" w:cs="Arial"/>
        </w:rPr>
      </w:pPr>
      <w:r>
        <w:rPr>
          <w:rFonts w:ascii="Arial" w:hAnsi="Arial" w:eastAsia="宋体" w:cs="Arial"/>
        </w:rPr>
        <w:t>本指南基于修复器械分部（REDB）对510（k）进行适当评价所需特定标准的确定，其中，该评价用于确定物理医学/修复器械的实质等同性。本文件的目的在于向器械制造商说明重要的管理性、描述性和科学信息，其中，这些信息应纳入在修复器械的510（k）中。个别510（k）提交材料可能需要提供与每个特定器械相关的附加信息。指南中包含的建议和推荐反映了由REDB确定的以允许对器械进行评价的最低要求。虽然在制备510（k）上市前通告时使用本文件不能确保FDA对器械进行许可，但遵守本指南可确保有足够的基本信息可用于启动实质性审查。</w:t>
      </w:r>
    </w:p>
    <w:p w14:paraId="1E63FD12">
      <w:pPr>
        <w:snapToGrid w:val="0"/>
        <w:spacing w:before="2" w:line="300" w:lineRule="auto"/>
        <w:jc w:val="both"/>
        <w:rPr>
          <w:rFonts w:ascii="Arial" w:hAnsi="Arial" w:eastAsia="宋体" w:cs="Arial"/>
        </w:rPr>
      </w:pPr>
    </w:p>
    <w:p w14:paraId="2B037553">
      <w:pPr>
        <w:snapToGrid w:val="0"/>
        <w:spacing w:line="300" w:lineRule="auto"/>
        <w:jc w:val="both"/>
        <w:rPr>
          <w:rFonts w:ascii="Arial" w:hAnsi="Arial" w:eastAsia="宋体" w:cs="Arial"/>
        </w:rPr>
        <w:sectPr>
          <w:footerReference r:id="rId3" w:type="default"/>
          <w:pgSz w:w="12240" w:h="15840"/>
          <w:pgMar w:top="1134" w:right="1134" w:bottom="1134" w:left="1134" w:header="0" w:footer="987" w:gutter="0"/>
          <w:cols w:space="720" w:num="1"/>
          <w:docGrid w:linePitch="326" w:charSpace="0"/>
        </w:sectPr>
      </w:pPr>
      <w:r>
        <w:rPr>
          <w:rFonts w:ascii="Arial" w:hAnsi="Arial" w:eastAsia="宋体" w:cs="Arial"/>
          <w:spacing w:val="-3"/>
        </w:rPr>
        <w:t>请注意，本指导性文件是一个灵活文件。随着科学知识和法规的变化，将会定期对其进行修订。</w:t>
      </w:r>
    </w:p>
    <w:p w14:paraId="3EB8B68A">
      <w:pPr>
        <w:pStyle w:val="3"/>
        <w:snapToGrid w:val="0"/>
        <w:spacing w:before="49" w:line="300" w:lineRule="auto"/>
        <w:ind w:left="0"/>
        <w:jc w:val="both"/>
        <w:rPr>
          <w:rFonts w:ascii="Arial" w:hAnsi="Arial" w:eastAsia="宋体" w:cs="Arial"/>
          <w:b w:val="0"/>
          <w:bCs w:val="0"/>
          <w:sz w:val="32"/>
          <w:szCs w:val="32"/>
          <w:lang w:eastAsia="zh-CN"/>
        </w:rPr>
      </w:pPr>
      <w:r>
        <w:rPr>
          <w:rFonts w:ascii="Arial" w:hAnsi="Arial" w:eastAsia="宋体" w:cs="Arial"/>
          <w:spacing w:val="-3"/>
          <w:w w:val="99"/>
          <w:sz w:val="32"/>
          <w:szCs w:val="32"/>
          <w:lang w:eastAsia="zh-CN"/>
        </w:rPr>
        <w:t>引言</w:t>
      </w:r>
    </w:p>
    <w:p w14:paraId="4F3F95A3">
      <w:pPr>
        <w:snapToGrid w:val="0"/>
        <w:spacing w:line="300" w:lineRule="auto"/>
        <w:jc w:val="both"/>
        <w:rPr>
          <w:rFonts w:ascii="Arial" w:hAnsi="Arial" w:eastAsia="宋体" w:cs="Arial"/>
          <w:b/>
          <w:bCs/>
        </w:rPr>
      </w:pPr>
    </w:p>
    <w:p w14:paraId="56278636">
      <w:pPr>
        <w:snapToGrid w:val="0"/>
        <w:spacing w:before="2" w:line="300" w:lineRule="auto"/>
        <w:jc w:val="both"/>
        <w:rPr>
          <w:rFonts w:ascii="Arial" w:hAnsi="Arial" w:eastAsia="宋体" w:cs="Arial"/>
        </w:rPr>
      </w:pPr>
      <w:r>
        <w:rPr>
          <w:rFonts w:ascii="Arial" w:hAnsi="Arial" w:eastAsia="宋体" w:cs="Arial"/>
        </w:rPr>
        <w:t>根据美国联邦法规（CFR）第21篇第807部分（E部分）所述的上市前通告程序，为用于FDA确定新器械与21 CFR 890.3760（电动台）和21 CFR 890.5880（多功能理疗台）中的比较（现有）器械实质等同而提交的任何510（k）通知，均应遵循以下格式，并且必须包含适用于该器械的所有指定信息。</w:t>
      </w:r>
    </w:p>
    <w:p w14:paraId="15EACC5D">
      <w:pPr>
        <w:snapToGrid w:val="0"/>
        <w:spacing w:before="2" w:line="300" w:lineRule="auto"/>
        <w:jc w:val="both"/>
        <w:rPr>
          <w:rFonts w:ascii="Arial" w:hAnsi="Arial" w:eastAsia="宋体" w:cs="Arial"/>
          <w:b/>
        </w:rPr>
      </w:pPr>
    </w:p>
    <w:p w14:paraId="4DF7A147">
      <w:pPr>
        <w:snapToGrid w:val="0"/>
        <w:spacing w:before="2" w:line="300" w:lineRule="auto"/>
        <w:jc w:val="both"/>
        <w:rPr>
          <w:rFonts w:ascii="Arial" w:hAnsi="Arial" w:eastAsia="宋体" w:cs="Arial"/>
          <w:b/>
        </w:rPr>
      </w:pPr>
      <w:r>
        <w:rPr>
          <w:rFonts w:ascii="Arial" w:hAnsi="Arial" w:eastAsia="宋体" w:cs="Arial"/>
          <w:b/>
        </w:rPr>
        <w:t>行政资料</w:t>
      </w:r>
    </w:p>
    <w:p w14:paraId="2FF30679">
      <w:pPr>
        <w:pStyle w:val="12"/>
        <w:numPr>
          <w:ilvl w:val="0"/>
          <w:numId w:val="2"/>
        </w:numPr>
        <w:snapToGrid w:val="0"/>
        <w:spacing w:before="2" w:after="120" w:afterLines="50"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提供提交510（k）材料的制造商和申办方的姓名、地址、电话和传真号码。</w:t>
      </w:r>
    </w:p>
    <w:p w14:paraId="194C1618">
      <w:pPr>
        <w:pStyle w:val="12"/>
        <w:numPr>
          <w:ilvl w:val="0"/>
          <w:numId w:val="2"/>
        </w:numPr>
        <w:snapToGrid w:val="0"/>
        <w:spacing w:before="2" w:after="120" w:afterLines="50"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提供新器械制造商的FDA注册编号（如果有的话）。</w:t>
      </w:r>
    </w:p>
    <w:p w14:paraId="16F84ACC">
      <w:pPr>
        <w:pStyle w:val="12"/>
        <w:numPr>
          <w:ilvl w:val="0"/>
          <w:numId w:val="2"/>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确定所有通信的官方联络人。</w:t>
      </w:r>
    </w:p>
    <w:p w14:paraId="4E5A30CD">
      <w:pPr>
        <w:snapToGrid w:val="0"/>
        <w:spacing w:line="300" w:lineRule="auto"/>
        <w:jc w:val="both"/>
        <w:rPr>
          <w:rFonts w:ascii="Arial" w:hAnsi="Arial" w:eastAsia="宋体" w:cs="Arial"/>
        </w:rPr>
      </w:pPr>
    </w:p>
    <w:p w14:paraId="7B14CC40">
      <w:pPr>
        <w:snapToGrid w:val="0"/>
        <w:spacing w:before="2" w:line="300" w:lineRule="auto"/>
        <w:jc w:val="both"/>
        <w:rPr>
          <w:rFonts w:ascii="Arial" w:hAnsi="Arial" w:eastAsia="宋体" w:cs="Arial"/>
          <w:b/>
        </w:rPr>
      </w:pPr>
      <w:r>
        <w:rPr>
          <w:rFonts w:ascii="Arial" w:hAnsi="Arial" w:eastAsia="宋体" w:cs="Arial"/>
          <w:b/>
        </w:rPr>
        <w:t>器械标识</w:t>
      </w:r>
    </w:p>
    <w:p w14:paraId="67ECA2E4">
      <w:pPr>
        <w:pStyle w:val="12"/>
        <w:numPr>
          <w:ilvl w:val="0"/>
          <w:numId w:val="3"/>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如21 CFR 807.90（d）所述，对于制造商打算销售的每种产品，应分别提交510（k）。因此，每份提交材料只能说明一个新器械。</w:t>
      </w:r>
    </w:p>
    <w:p w14:paraId="7C31F78A">
      <w:pPr>
        <w:snapToGrid w:val="0"/>
        <w:spacing w:before="2" w:line="300" w:lineRule="auto"/>
        <w:jc w:val="both"/>
        <w:rPr>
          <w:rFonts w:ascii="Arial" w:hAnsi="Arial" w:eastAsia="宋体" w:cs="Arial"/>
        </w:rPr>
      </w:pPr>
    </w:p>
    <w:p w14:paraId="23F26CDC">
      <w:pPr>
        <w:snapToGrid w:val="0"/>
        <w:spacing w:before="2" w:line="300" w:lineRule="auto"/>
        <w:jc w:val="both"/>
        <w:rPr>
          <w:rFonts w:ascii="Arial" w:hAnsi="Arial" w:eastAsia="宋体" w:cs="Arial"/>
        </w:rPr>
      </w:pPr>
      <w:r>
        <w:rPr>
          <w:rFonts w:ascii="Arial" w:hAnsi="Arial" w:eastAsia="宋体" w:cs="Arial"/>
        </w:rPr>
        <w:t>一份提交材料可以说明单个器械的多个组件或附件。提交的材料必须将每个此类组件或附件与比较器械进行比较，或者必须声明比较器械缺少此类组件或附件。</w:t>
      </w:r>
    </w:p>
    <w:p w14:paraId="2646F3FD">
      <w:pPr>
        <w:snapToGrid w:val="0"/>
        <w:spacing w:before="2" w:line="300" w:lineRule="auto"/>
        <w:jc w:val="both"/>
        <w:rPr>
          <w:rFonts w:ascii="Arial" w:hAnsi="Arial" w:eastAsia="宋体" w:cs="Arial"/>
        </w:rPr>
      </w:pPr>
    </w:p>
    <w:p w14:paraId="2A78DD99">
      <w:pPr>
        <w:snapToGrid w:val="0"/>
        <w:spacing w:line="300" w:lineRule="auto"/>
        <w:jc w:val="both"/>
        <w:rPr>
          <w:rFonts w:ascii="Arial" w:hAnsi="Arial" w:eastAsia="宋体" w:cs="Arial"/>
        </w:rPr>
      </w:pPr>
    </w:p>
    <w:p w14:paraId="79D9FD63">
      <w:pPr>
        <w:pStyle w:val="12"/>
        <w:numPr>
          <w:ilvl w:val="0"/>
          <w:numId w:val="3"/>
        </w:numPr>
        <w:snapToGrid w:val="0"/>
        <w:spacing w:before="2" w:line="300" w:lineRule="auto"/>
        <w:jc w:val="both"/>
        <w:rPr>
          <w:rFonts w:ascii="Arial" w:hAnsi="Arial" w:eastAsia="宋体" w:cs="Arial"/>
          <w:sz w:val="24"/>
          <w:szCs w:val="24"/>
        </w:rPr>
      </w:pPr>
      <w:r>
        <w:rPr>
          <w:rFonts w:ascii="Arial" w:hAnsi="Arial" w:eastAsia="宋体" w:cs="Arial"/>
          <w:sz w:val="24"/>
          <w:szCs w:val="24"/>
        </w:rPr>
        <w:t>必须提供以下信息：</w:t>
      </w:r>
    </w:p>
    <w:p w14:paraId="3ADAB1C1">
      <w:pPr>
        <w:pStyle w:val="12"/>
        <w:numPr>
          <w:ilvl w:val="0"/>
          <w:numId w:val="4"/>
        </w:numPr>
        <w:snapToGrid w:val="0"/>
        <w:spacing w:before="2" w:line="300" w:lineRule="auto"/>
        <w:jc w:val="both"/>
        <w:rPr>
          <w:rFonts w:ascii="Arial" w:hAnsi="Arial" w:eastAsia="宋体" w:cs="Arial"/>
          <w:sz w:val="24"/>
          <w:szCs w:val="24"/>
        </w:rPr>
      </w:pPr>
      <w:r>
        <w:rPr>
          <w:rFonts w:ascii="Arial" w:hAnsi="Arial" w:eastAsia="宋体" w:cs="Arial"/>
          <w:sz w:val="24"/>
          <w:szCs w:val="24"/>
        </w:rPr>
        <w:t>新器械的专有名称；</w:t>
      </w:r>
    </w:p>
    <w:p w14:paraId="72E21D71">
      <w:pPr>
        <w:pStyle w:val="12"/>
        <w:numPr>
          <w:ilvl w:val="0"/>
          <w:numId w:val="4"/>
        </w:numPr>
        <w:snapToGrid w:val="0"/>
        <w:spacing w:before="2" w:line="300" w:lineRule="auto"/>
        <w:jc w:val="both"/>
        <w:rPr>
          <w:rFonts w:ascii="Arial" w:hAnsi="Arial" w:eastAsia="宋体" w:cs="Arial"/>
          <w:sz w:val="24"/>
          <w:szCs w:val="24"/>
        </w:rPr>
      </w:pPr>
      <w:r>
        <w:rPr>
          <w:rFonts w:ascii="Arial" w:hAnsi="Arial" w:eastAsia="宋体" w:cs="Arial"/>
          <w:sz w:val="24"/>
          <w:szCs w:val="24"/>
        </w:rPr>
        <w:t>器械的通用名称；</w:t>
      </w:r>
    </w:p>
    <w:p w14:paraId="67905A34">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比较器械的分类，例如II类。请参阅食品、药品和化妆品法案的21 CFR和第513条；</w:t>
      </w:r>
    </w:p>
    <w:p w14:paraId="27E17B4C">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新器械的拟议法规类别，例如II类。（21 CFR 862-892包含医疗器械的法规类别）；以及</w:t>
      </w:r>
    </w:p>
    <w:p w14:paraId="15888F58">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器械的学科代码。[如果产品没有归类于物理药物器械科，请确定所属分类科，并提供学科标识码（例如，89是物理药物器械科的代码）]。</w:t>
      </w:r>
    </w:p>
    <w:p w14:paraId="18FA61C2">
      <w:pPr>
        <w:snapToGrid w:val="0"/>
        <w:spacing w:before="2" w:line="300" w:lineRule="auto"/>
        <w:jc w:val="both"/>
        <w:rPr>
          <w:rFonts w:ascii="Arial" w:hAnsi="Arial" w:eastAsia="宋体" w:cs="Arial"/>
        </w:rPr>
      </w:pPr>
    </w:p>
    <w:p w14:paraId="4C4BFCFC">
      <w:pPr>
        <w:widowControl w:val="0"/>
        <w:rPr>
          <w:rFonts w:ascii="Arial" w:hAnsi="Arial" w:eastAsia="宋体" w:cs="Arial"/>
        </w:rPr>
      </w:pPr>
      <w:r>
        <w:rPr>
          <w:rFonts w:ascii="Arial" w:hAnsi="Arial" w:eastAsia="宋体" w:cs="Arial"/>
        </w:rPr>
        <w:br w:type="page"/>
      </w:r>
    </w:p>
    <w:p w14:paraId="028FB3A7">
      <w:pPr>
        <w:pStyle w:val="12"/>
        <w:numPr>
          <w:ilvl w:val="0"/>
          <w:numId w:val="3"/>
        </w:numPr>
        <w:snapToGrid w:val="0"/>
        <w:spacing w:before="2" w:line="300" w:lineRule="auto"/>
        <w:jc w:val="both"/>
        <w:rPr>
          <w:rFonts w:ascii="Arial" w:hAnsi="Arial" w:eastAsia="宋体" w:cs="Arial"/>
          <w:sz w:val="24"/>
          <w:szCs w:val="24"/>
        </w:rPr>
      </w:pPr>
      <w:r>
        <w:rPr>
          <w:rFonts w:ascii="Arial" w:hAnsi="Arial" w:eastAsia="宋体" w:cs="Arial"/>
          <w:sz w:val="24"/>
          <w:szCs w:val="24"/>
        </w:rPr>
        <w:t>确定该器械是否：</w:t>
      </w:r>
    </w:p>
    <w:p w14:paraId="5DEBB920">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之前已为相同或不同的适应症而提交给FDA；</w:t>
      </w:r>
    </w:p>
    <w:p w14:paraId="3729E7F4">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目前正在由ODE内的相同或不同部门审查不同的适应症；或者</w:t>
      </w:r>
    </w:p>
    <w:p w14:paraId="5DB458A0">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之前已经被FDA许可用于不同的适应症。</w:t>
      </w:r>
    </w:p>
    <w:p w14:paraId="3BFE1ED1">
      <w:pPr>
        <w:snapToGrid w:val="0"/>
        <w:spacing w:before="2" w:line="300" w:lineRule="auto"/>
        <w:jc w:val="both"/>
        <w:rPr>
          <w:rFonts w:ascii="Arial" w:hAnsi="Arial" w:eastAsia="宋体" w:cs="Arial"/>
          <w:b/>
        </w:rPr>
      </w:pPr>
    </w:p>
    <w:p w14:paraId="3A93A41F">
      <w:pPr>
        <w:snapToGrid w:val="0"/>
        <w:spacing w:before="2" w:line="300" w:lineRule="auto"/>
        <w:jc w:val="both"/>
        <w:rPr>
          <w:rFonts w:ascii="Arial" w:hAnsi="Arial" w:eastAsia="宋体" w:cs="Arial"/>
          <w:b/>
        </w:rPr>
      </w:pPr>
      <w:r>
        <w:rPr>
          <w:rFonts w:ascii="Arial" w:hAnsi="Arial" w:eastAsia="宋体" w:cs="Arial"/>
          <w:b/>
        </w:rPr>
        <w:t>器械描述性信息</w:t>
      </w:r>
    </w:p>
    <w:p w14:paraId="1EF0FFC9">
      <w:pPr>
        <w:snapToGrid w:val="0"/>
        <w:spacing w:before="2" w:line="300" w:lineRule="auto"/>
        <w:jc w:val="both"/>
        <w:rPr>
          <w:rFonts w:ascii="Arial" w:hAnsi="Arial" w:eastAsia="宋体" w:cs="Arial"/>
          <w:u w:val="single"/>
        </w:rPr>
      </w:pPr>
    </w:p>
    <w:p w14:paraId="69320EA3">
      <w:pPr>
        <w:snapToGrid w:val="0"/>
        <w:spacing w:before="2" w:line="300" w:lineRule="auto"/>
        <w:jc w:val="both"/>
        <w:rPr>
          <w:rFonts w:ascii="Arial" w:hAnsi="Arial" w:eastAsia="宋体" w:cs="Arial"/>
          <w:u w:val="single"/>
        </w:rPr>
      </w:pPr>
      <w:r>
        <w:rPr>
          <w:rFonts w:ascii="Arial" w:hAnsi="Arial" w:eastAsia="宋体" w:cs="Arial"/>
          <w:u w:val="single"/>
        </w:rPr>
        <w:t>预期用途</w:t>
      </w:r>
    </w:p>
    <w:p w14:paraId="1E917CEA">
      <w:pPr>
        <w:snapToGrid w:val="0"/>
        <w:spacing w:before="2" w:line="300" w:lineRule="auto"/>
        <w:jc w:val="both"/>
        <w:rPr>
          <w:rFonts w:ascii="Arial" w:hAnsi="Arial" w:eastAsia="宋体" w:cs="Arial"/>
          <w:u w:val="single"/>
        </w:rPr>
      </w:pPr>
    </w:p>
    <w:p w14:paraId="62B5E495">
      <w:pPr>
        <w:snapToGrid w:val="0"/>
        <w:spacing w:before="2" w:line="300" w:lineRule="auto"/>
        <w:jc w:val="both"/>
        <w:rPr>
          <w:rFonts w:ascii="Arial" w:hAnsi="Arial" w:eastAsia="宋体" w:cs="Arial"/>
        </w:rPr>
      </w:pPr>
      <w:r>
        <w:rPr>
          <w:rFonts w:ascii="Arial" w:hAnsi="Arial" w:eastAsia="宋体" w:cs="Arial"/>
        </w:rPr>
        <w:t>确定主题器械和比较器械的具体预期用途。新器械必须具备与比较器械指定用途相同的预期医疗用途，只要这些更改不会改变治疗或诊断效果，并且不影响安全性和有效性。这些预期用途必须与适用于该器械的CFR部分中包含的预期医疗用途的描述一致，并且必须标识该器械所适应的特定医疗条件。如果适应症不同，则贵公司必须提供理由说明这些变化为何不影响安全性和有效性。如需提出特殊标签声明，则必须提供信息以支持该声明。</w:t>
      </w:r>
    </w:p>
    <w:p w14:paraId="770F0FC0">
      <w:pPr>
        <w:snapToGrid w:val="0"/>
        <w:spacing w:before="2" w:line="300" w:lineRule="auto"/>
        <w:jc w:val="both"/>
        <w:rPr>
          <w:rFonts w:ascii="Arial" w:hAnsi="Arial" w:eastAsia="宋体" w:cs="Arial"/>
        </w:rPr>
      </w:pPr>
    </w:p>
    <w:p w14:paraId="77B54C9F">
      <w:pPr>
        <w:snapToGrid w:val="0"/>
        <w:spacing w:before="2" w:line="300" w:lineRule="auto"/>
        <w:jc w:val="both"/>
        <w:rPr>
          <w:rFonts w:ascii="Arial" w:hAnsi="Arial" w:eastAsia="宋体" w:cs="Arial"/>
        </w:rPr>
      </w:pPr>
      <w:r>
        <w:rPr>
          <w:rFonts w:ascii="Arial" w:hAnsi="Arial" w:eastAsia="宋体" w:cs="Arial"/>
        </w:rPr>
        <w:t>如果器械未标有医疗用途标签或并非为医疗用途而进行推广，则无需通知FDA有关上市该器械的意向。但是，如果上市开始后出现任何提出医疗声明的推广材料，则FDA会对该设备进行管制，并可能要求提供上市前通告。</w:t>
      </w:r>
    </w:p>
    <w:p w14:paraId="01496A80">
      <w:pPr>
        <w:snapToGrid w:val="0"/>
        <w:spacing w:before="2" w:line="300" w:lineRule="auto"/>
        <w:jc w:val="both"/>
        <w:rPr>
          <w:rFonts w:ascii="Arial" w:hAnsi="Arial" w:eastAsia="宋体" w:cs="Arial"/>
        </w:rPr>
      </w:pPr>
    </w:p>
    <w:p w14:paraId="788751FD">
      <w:pPr>
        <w:snapToGrid w:val="0"/>
        <w:spacing w:before="2" w:line="300" w:lineRule="auto"/>
        <w:jc w:val="both"/>
        <w:rPr>
          <w:rFonts w:ascii="Arial" w:hAnsi="Arial" w:eastAsia="宋体" w:cs="Arial"/>
          <w:u w:val="single"/>
        </w:rPr>
      </w:pPr>
      <w:r>
        <w:rPr>
          <w:rFonts w:ascii="Arial" w:hAnsi="Arial" w:eastAsia="宋体" w:cs="Arial"/>
          <w:u w:val="single"/>
        </w:rPr>
        <w:t>器械说明</w:t>
      </w:r>
    </w:p>
    <w:p w14:paraId="73D6655B">
      <w:pPr>
        <w:snapToGrid w:val="0"/>
        <w:spacing w:before="2" w:line="300" w:lineRule="auto"/>
        <w:jc w:val="both"/>
        <w:rPr>
          <w:rFonts w:ascii="Arial" w:hAnsi="Arial" w:eastAsia="宋体" w:cs="Arial"/>
        </w:rPr>
      </w:pPr>
    </w:p>
    <w:p w14:paraId="585B0B05">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提供器械的书面说明，包括所有器械组件、附件、</w:t>
      </w:r>
      <w:r>
        <w:rPr>
          <w:rFonts w:hint="eastAsia" w:ascii="Arial" w:hAnsi="Arial" w:eastAsia="宋体" w:cs="Arial"/>
          <w:sz w:val="24"/>
          <w:szCs w:val="24"/>
          <w:lang w:eastAsia="zh-CN"/>
        </w:rPr>
        <w:t>工具</w:t>
      </w:r>
      <w:r>
        <w:rPr>
          <w:rFonts w:ascii="Arial" w:hAnsi="Arial" w:eastAsia="宋体" w:cs="Arial"/>
          <w:sz w:val="24"/>
          <w:szCs w:val="24"/>
          <w:lang w:eastAsia="zh-CN"/>
        </w:rPr>
        <w:t>以及器械的任何新功能。</w:t>
      </w:r>
    </w:p>
    <w:p w14:paraId="37C2B3FF">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标识器械的相关尺寸和所有可能的配置。</w:t>
      </w:r>
    </w:p>
    <w:p w14:paraId="224589B0">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说明器械的工作原理及与其他组件的互连。</w:t>
      </w:r>
    </w:p>
    <w:p w14:paraId="3D12F443">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提供器械的工程图纸和/或照片，并完成新器械和比较器械的书面说明。该说明必须包含两个器械的所有内部和外部功能图示。工程图必须提供器械及其主要部件的长度、宽度和高度。</w:t>
      </w:r>
    </w:p>
    <w:p w14:paraId="1B3177EC">
      <w:pPr>
        <w:snapToGrid w:val="0"/>
        <w:spacing w:before="2" w:line="300" w:lineRule="auto"/>
        <w:ind w:firstLine="768" w:firstLineChars="320"/>
        <w:jc w:val="both"/>
        <w:rPr>
          <w:rFonts w:ascii="Arial" w:hAnsi="Arial" w:eastAsia="宋体" w:cs="Arial"/>
        </w:rPr>
      </w:pPr>
      <w:r>
        <w:rPr>
          <w:rFonts w:ascii="Arial" w:hAnsi="Arial" w:eastAsia="宋体" w:cs="Arial"/>
        </w:rPr>
        <w:t>照片或其他图示（如尺寸图）必须提供器械的前视图和后视图。</w:t>
      </w:r>
    </w:p>
    <w:p w14:paraId="53D25A72">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新器械和比较器械（如果适用）中所有新型或复杂的电气元件或系统的电路图。对于简单的电动机、电源组件、开关和量规等标准器械则无需提供这些。</w:t>
      </w:r>
    </w:p>
    <w:p w14:paraId="27FA9328">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表明新器械的最大承重能力和最大承载能力。</w:t>
      </w:r>
    </w:p>
    <w:p w14:paraId="1CCF4EA4">
      <w:pPr>
        <w:snapToGrid w:val="0"/>
        <w:spacing w:before="2" w:line="300" w:lineRule="auto"/>
        <w:jc w:val="both"/>
        <w:rPr>
          <w:rFonts w:ascii="Arial" w:hAnsi="Arial" w:eastAsia="宋体" w:cs="Arial"/>
          <w:u w:val="single"/>
        </w:rPr>
      </w:pPr>
    </w:p>
    <w:p w14:paraId="4D37E7E1">
      <w:pPr>
        <w:snapToGrid w:val="0"/>
        <w:spacing w:before="2" w:line="300" w:lineRule="auto"/>
        <w:jc w:val="both"/>
        <w:rPr>
          <w:rFonts w:ascii="Arial" w:hAnsi="Arial" w:eastAsia="宋体" w:cs="Arial"/>
          <w:u w:val="single"/>
        </w:rPr>
      </w:pPr>
    </w:p>
    <w:p w14:paraId="74C77349">
      <w:pPr>
        <w:snapToGrid w:val="0"/>
        <w:spacing w:before="2" w:line="300" w:lineRule="auto"/>
        <w:jc w:val="both"/>
        <w:rPr>
          <w:rFonts w:ascii="Arial" w:hAnsi="Arial" w:eastAsia="宋体" w:cs="Arial"/>
          <w:u w:val="single"/>
        </w:rPr>
      </w:pPr>
    </w:p>
    <w:p w14:paraId="229E9B7A">
      <w:pPr>
        <w:snapToGrid w:val="0"/>
        <w:spacing w:before="2" w:line="300" w:lineRule="auto"/>
        <w:jc w:val="both"/>
        <w:rPr>
          <w:rFonts w:ascii="Arial" w:hAnsi="Arial" w:eastAsia="宋体" w:cs="Arial"/>
          <w:u w:val="single"/>
        </w:rPr>
      </w:pPr>
    </w:p>
    <w:p w14:paraId="39BF56C9">
      <w:pPr>
        <w:snapToGrid w:val="0"/>
        <w:spacing w:before="2" w:line="300" w:lineRule="auto"/>
        <w:jc w:val="both"/>
        <w:rPr>
          <w:rFonts w:ascii="Arial" w:hAnsi="Arial" w:eastAsia="宋体" w:cs="Arial"/>
          <w:u w:val="single"/>
        </w:rPr>
      </w:pPr>
    </w:p>
    <w:p w14:paraId="3352CFF9">
      <w:pPr>
        <w:snapToGrid w:val="0"/>
        <w:spacing w:before="2" w:line="300" w:lineRule="auto"/>
        <w:jc w:val="both"/>
        <w:rPr>
          <w:rFonts w:ascii="Arial" w:hAnsi="Arial" w:eastAsia="宋体" w:cs="Arial"/>
          <w:u w:val="single"/>
        </w:rPr>
      </w:pPr>
      <w:r>
        <w:rPr>
          <w:rFonts w:ascii="Arial" w:hAnsi="Arial" w:eastAsia="宋体" w:cs="Arial"/>
          <w:u w:val="single"/>
        </w:rPr>
        <w:t>材料</w:t>
      </w:r>
    </w:p>
    <w:p w14:paraId="0B015D60">
      <w:pPr>
        <w:snapToGrid w:val="0"/>
        <w:spacing w:before="2" w:line="300" w:lineRule="auto"/>
        <w:jc w:val="both"/>
        <w:rPr>
          <w:rFonts w:ascii="Arial" w:hAnsi="Arial" w:eastAsia="宋体" w:cs="Arial"/>
        </w:rPr>
      </w:pPr>
      <w:r>
        <w:rPr>
          <w:rFonts w:ascii="Arial" w:hAnsi="Arial" w:eastAsia="宋体" w:cs="Arial"/>
        </w:rPr>
        <w:t>标识每个组件的材料（例如，所用金属的特定种类和等级）和器械材料须符合或进行比较的推荐性标准，并说明可能影响材料性能的任何其他加工。必须提供对在新器械上进行的材料强度测试的说明。</w:t>
      </w:r>
    </w:p>
    <w:p w14:paraId="4E67DE27">
      <w:pPr>
        <w:snapToGrid w:val="0"/>
        <w:spacing w:before="5" w:line="300" w:lineRule="auto"/>
        <w:jc w:val="both"/>
        <w:rPr>
          <w:rFonts w:ascii="Arial" w:hAnsi="Arial" w:eastAsia="宋体" w:cs="Arial"/>
        </w:rPr>
      </w:pPr>
    </w:p>
    <w:p w14:paraId="0857F200">
      <w:pPr>
        <w:snapToGrid w:val="0"/>
        <w:spacing w:before="2" w:line="300" w:lineRule="auto"/>
        <w:jc w:val="both"/>
        <w:rPr>
          <w:rFonts w:ascii="Arial" w:hAnsi="Arial" w:eastAsia="宋体" w:cs="Arial"/>
        </w:rPr>
      </w:pPr>
      <w:r>
        <w:rPr>
          <w:rFonts w:ascii="Arial" w:hAnsi="Arial" w:eastAsia="宋体" w:cs="Arial"/>
        </w:rPr>
        <w:t>标签</w:t>
      </w:r>
    </w:p>
    <w:p w14:paraId="30EBA545">
      <w:pPr>
        <w:pStyle w:val="12"/>
        <w:numPr>
          <w:ilvl w:val="0"/>
          <w:numId w:val="6"/>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提供草案或样本包装标签、包装说明书，包括新器械的完整操作员说明。</w:t>
      </w:r>
    </w:p>
    <w:p w14:paraId="5B30158A">
      <w:pPr>
        <w:pStyle w:val="12"/>
        <w:numPr>
          <w:ilvl w:val="0"/>
          <w:numId w:val="6"/>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包括新器械和比较器械的推广材料副本。</w:t>
      </w:r>
    </w:p>
    <w:p w14:paraId="5EB7484A">
      <w:pPr>
        <w:pStyle w:val="12"/>
        <w:numPr>
          <w:ilvl w:val="0"/>
          <w:numId w:val="6"/>
        </w:numPr>
        <w:snapToGrid w:val="0"/>
        <w:spacing w:before="2" w:line="300" w:lineRule="auto"/>
        <w:jc w:val="both"/>
        <w:rPr>
          <w:rFonts w:ascii="Arial" w:hAnsi="Arial" w:eastAsia="宋体" w:cs="Arial"/>
          <w:sz w:val="24"/>
          <w:szCs w:val="24"/>
        </w:rPr>
      </w:pPr>
      <w:r>
        <w:rPr>
          <w:rFonts w:ascii="Arial" w:hAnsi="Arial" w:eastAsia="宋体" w:cs="Arial"/>
          <w:sz w:val="24"/>
          <w:szCs w:val="24"/>
        </w:rPr>
        <w:t>提供清洁说明。</w:t>
      </w:r>
    </w:p>
    <w:p w14:paraId="385D3412">
      <w:pPr>
        <w:snapToGrid w:val="0"/>
        <w:spacing w:before="7" w:line="300" w:lineRule="auto"/>
        <w:jc w:val="both"/>
        <w:rPr>
          <w:rFonts w:ascii="Arial" w:hAnsi="Arial" w:eastAsia="宋体" w:cs="Arial"/>
        </w:rPr>
      </w:pPr>
    </w:p>
    <w:p w14:paraId="583AFE6A">
      <w:pPr>
        <w:snapToGrid w:val="0"/>
        <w:spacing w:before="2" w:line="300" w:lineRule="auto"/>
        <w:jc w:val="both"/>
        <w:rPr>
          <w:rFonts w:ascii="Arial" w:hAnsi="Arial" w:eastAsia="宋体" w:cs="Arial"/>
          <w:u w:val="single"/>
        </w:rPr>
      </w:pPr>
      <w:r>
        <w:rPr>
          <w:rFonts w:ascii="Arial" w:hAnsi="Arial" w:eastAsia="宋体" w:cs="Arial"/>
          <w:u w:val="single"/>
        </w:rPr>
        <w:t>其他信息</w:t>
      </w:r>
    </w:p>
    <w:p w14:paraId="6A3F191F">
      <w:pPr>
        <w:pStyle w:val="12"/>
        <w:numPr>
          <w:ilvl w:val="0"/>
          <w:numId w:val="7"/>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适用于本指导性文件涵盖的所有器械的具体信息。</w:t>
      </w:r>
    </w:p>
    <w:p w14:paraId="11B3BAB1">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如果贵公司的器械使用了控制软件，贵公司应该参考1991年8月29日发布的题为“接受510（k）审查的计算机控制医疗器械的审查人员指南”的FDA文件。如本文件所述，贵公司应该确定并证明贵公司认为与贵公司器械的软件相关的关注程度。此外，根据本指南，应提供与关注程度相关的文档，包括：1）系统和软件要求与设计2）软件开发3）验证与确认（V＆V）4）试验结果</w:t>
      </w:r>
      <w:r>
        <w:rPr>
          <w:rFonts w:hint="eastAsia" w:ascii="Arial" w:hAnsi="Arial" w:eastAsia="宋体" w:cs="Arial"/>
          <w:spacing w:val="-4"/>
          <w:sz w:val="24"/>
          <w:szCs w:val="24"/>
          <w:u w:val="single"/>
          <w:lang w:eastAsia="zh-CN"/>
        </w:rPr>
        <w:t>与</w:t>
      </w:r>
      <w:r>
        <w:rPr>
          <w:rFonts w:ascii="Arial" w:hAnsi="Arial" w:eastAsia="宋体" w:cs="Arial"/>
          <w:spacing w:val="-4"/>
          <w:sz w:val="24"/>
          <w:szCs w:val="24"/>
          <w:lang w:eastAsia="zh-CN"/>
        </w:rPr>
        <w:t>分析，和5）认证。贵公司还必须为软件提供危害分析，以确定软件和系统的安全要求。</w:t>
      </w:r>
    </w:p>
    <w:p w14:paraId="370DD884">
      <w:pPr>
        <w:pStyle w:val="12"/>
        <w:tabs>
          <w:tab w:val="left" w:pos="1542"/>
        </w:tabs>
        <w:snapToGrid w:val="0"/>
        <w:spacing w:before="43" w:line="300" w:lineRule="auto"/>
        <w:jc w:val="both"/>
        <w:rPr>
          <w:rFonts w:ascii="Arial" w:hAnsi="Arial" w:eastAsia="宋体" w:cs="Arial"/>
          <w:spacing w:val="-4"/>
          <w:sz w:val="24"/>
          <w:szCs w:val="24"/>
          <w:lang w:eastAsia="zh-CN"/>
        </w:rPr>
      </w:pPr>
    </w:p>
    <w:p w14:paraId="6656C888">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r>
        <w:rPr>
          <w:rFonts w:ascii="Arial" w:hAnsi="Arial" w:eastAsia="宋体" w:cs="Arial"/>
          <w:spacing w:val="-4"/>
          <w:sz w:val="24"/>
          <w:szCs w:val="24"/>
          <w:lang w:eastAsia="zh-CN"/>
        </w:rPr>
        <w:t>请注意，如果贵公司仅提供“510（k）审查软件文档模型”中突出显示的最低限度信息，则这可能无法确保有足够的信息来确定软件。在记录验证与确认程序（所有关注程度）时，贵公司应提供通过/失败和试验完成标准以及系统级功能试验计划。如必要，贵公司可以根据需要参考本指南和其他来源中提供的示例问题。我们鼓励贵公司就其如何在整个开发过程中确保安全问题的可追溯性，以及试验和分析如何充分证明软件满足其功能和安全性要求提交开发生命周期的总结。总的来说，所提供的文档应该允许对软件设计和开发的质量以及软件质量控制水平进行充分评估。</w:t>
      </w:r>
    </w:p>
    <w:p w14:paraId="4A8CDBA9">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p>
    <w:p w14:paraId="419E5E2E">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r>
        <w:rPr>
          <w:rFonts w:ascii="Arial" w:hAnsi="Arial" w:eastAsia="宋体" w:cs="Arial"/>
          <w:spacing w:val="-4"/>
          <w:sz w:val="24"/>
          <w:szCs w:val="24"/>
          <w:lang w:eastAsia="zh-CN"/>
        </w:rPr>
        <w:t>本指导性文件的副本可从小型制造商协助司（DSMA）获得，电话为800-638-2041。</w:t>
      </w:r>
    </w:p>
    <w:p w14:paraId="1EF5C21F">
      <w:pPr>
        <w:tabs>
          <w:tab w:val="left" w:pos="1542"/>
        </w:tabs>
        <w:snapToGrid w:val="0"/>
        <w:spacing w:before="43" w:line="300" w:lineRule="auto"/>
        <w:jc w:val="both"/>
        <w:rPr>
          <w:rFonts w:ascii="Arial" w:hAnsi="Arial" w:eastAsia="宋体" w:cs="Arial"/>
          <w:spacing w:val="-4"/>
        </w:rPr>
      </w:pPr>
    </w:p>
    <w:p w14:paraId="2D87B349">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确定与新器械一起使用的所有潜在易燃材料，并指出这些材料是否已经按照现行标准进行测试，或提供有关这些材料的阻燃性能的试验结果。</w:t>
      </w:r>
    </w:p>
    <w:p w14:paraId="52E0E9F9">
      <w:pPr>
        <w:pStyle w:val="12"/>
        <w:tabs>
          <w:tab w:val="left" w:pos="1542"/>
        </w:tabs>
        <w:snapToGrid w:val="0"/>
        <w:spacing w:before="43" w:line="300" w:lineRule="auto"/>
        <w:jc w:val="both"/>
        <w:rPr>
          <w:rFonts w:ascii="Arial" w:hAnsi="Arial" w:eastAsia="宋体" w:cs="Arial"/>
          <w:spacing w:val="-4"/>
          <w:sz w:val="24"/>
          <w:szCs w:val="24"/>
          <w:lang w:eastAsia="zh-CN"/>
        </w:rPr>
      </w:pPr>
    </w:p>
    <w:p w14:paraId="49F5BC87">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提供对任何附件的说明。</w:t>
      </w:r>
    </w:p>
    <w:p w14:paraId="1B48457F">
      <w:pPr>
        <w:tabs>
          <w:tab w:val="left" w:pos="1542"/>
        </w:tabs>
        <w:snapToGrid w:val="0"/>
        <w:spacing w:before="43" w:line="300" w:lineRule="auto"/>
        <w:jc w:val="both"/>
        <w:rPr>
          <w:rFonts w:ascii="Arial" w:hAnsi="Arial" w:eastAsia="宋体" w:cs="Arial"/>
          <w:spacing w:val="-4"/>
        </w:rPr>
      </w:pPr>
    </w:p>
    <w:p w14:paraId="734E6C0B">
      <w:pPr>
        <w:pStyle w:val="12"/>
        <w:numPr>
          <w:ilvl w:val="0"/>
          <w:numId w:val="7"/>
        </w:numPr>
        <w:snapToGrid w:val="0"/>
        <w:spacing w:before="2" w:after="120" w:afterLines="50" w:line="300" w:lineRule="auto"/>
        <w:ind w:left="522"/>
        <w:jc w:val="both"/>
        <w:rPr>
          <w:rFonts w:ascii="Arial" w:hAnsi="Arial" w:eastAsia="宋体" w:cs="Arial"/>
          <w:sz w:val="24"/>
          <w:szCs w:val="24"/>
          <w:lang w:eastAsia="zh-CN"/>
        </w:rPr>
      </w:pPr>
      <w:r>
        <w:rPr>
          <w:rFonts w:ascii="Arial" w:hAnsi="Arial" w:eastAsia="宋体" w:cs="Arial"/>
          <w:spacing w:val="-3"/>
          <w:sz w:val="24"/>
          <w:szCs w:val="24"/>
          <w:lang w:eastAsia="zh-CN"/>
        </w:rPr>
        <w:t>电动器械所需的具体信息。</w:t>
      </w:r>
    </w:p>
    <w:p w14:paraId="1AC9C665">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提供任何包含电气元件的新器械的接地漏电流规格。</w:t>
      </w:r>
    </w:p>
    <w:p w14:paraId="49CCE296">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提供清楚确定器械安全开关位置的照片或图示，其中，用户可以通过该位置停止新器械的操作。讨论/说明安全开关如何确定且用户易于接触。</w:t>
      </w:r>
    </w:p>
    <w:p w14:paraId="541D82C9">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提供新器械以及（如果可用）比较器械中所有新型或复杂电气元件或系统的电路图。对于简单电动机、电源组件、开关和量规等标准器械​​，不必提供这些信息。</w:t>
      </w:r>
    </w:p>
    <w:p w14:paraId="0B2F4140">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电磁兼容性（EMC）：</w:t>
      </w:r>
    </w:p>
    <w:p w14:paraId="6963529D">
      <w:pPr>
        <w:pStyle w:val="5"/>
        <w:numPr>
          <w:ilvl w:val="0"/>
          <w:numId w:val="9"/>
        </w:numPr>
        <w:snapToGrid w:val="0"/>
        <w:spacing w:before="69" w:after="120" w:afterLines="50" w:line="300" w:lineRule="auto"/>
        <w:ind w:left="522"/>
        <w:jc w:val="both"/>
        <w:rPr>
          <w:rFonts w:ascii="Arial" w:hAnsi="Arial" w:eastAsia="宋体" w:cs="Arial"/>
          <w:spacing w:val="-3"/>
          <w:lang w:eastAsia="zh-CN"/>
        </w:rPr>
      </w:pPr>
      <w:r>
        <w:rPr>
          <w:rFonts w:ascii="Arial" w:hAnsi="Arial" w:eastAsia="宋体" w:cs="Arial"/>
          <w:spacing w:val="-3"/>
          <w:lang w:eastAsia="zh-CN"/>
        </w:rPr>
        <w:t>贵公司应该注意，EMC的这个问题可能需要在这种类型的器械的未来应用中解决。这种要求将提前公布。</w:t>
      </w:r>
    </w:p>
    <w:p w14:paraId="289CD5D0">
      <w:pPr>
        <w:pStyle w:val="5"/>
        <w:snapToGrid w:val="0"/>
        <w:spacing w:before="69" w:line="300" w:lineRule="auto"/>
        <w:ind w:left="0" w:firstLine="0"/>
        <w:jc w:val="both"/>
        <w:rPr>
          <w:rFonts w:ascii="Arial" w:hAnsi="Arial" w:eastAsia="宋体" w:cs="Arial"/>
          <w:spacing w:val="-3"/>
          <w:lang w:eastAsia="zh-CN"/>
        </w:rPr>
      </w:pPr>
    </w:p>
    <w:p w14:paraId="1BA1C8B7">
      <w:pPr>
        <w:pStyle w:val="3"/>
        <w:snapToGrid w:val="0"/>
        <w:spacing w:line="300" w:lineRule="auto"/>
        <w:ind w:left="0"/>
        <w:jc w:val="both"/>
        <w:rPr>
          <w:rFonts w:ascii="Arial" w:hAnsi="Arial" w:eastAsia="宋体" w:cs="Arial"/>
          <w:lang w:eastAsia="zh-CN"/>
        </w:rPr>
      </w:pPr>
      <w:r>
        <w:rPr>
          <w:rFonts w:ascii="Arial" w:hAnsi="Arial" w:eastAsia="宋体" w:cs="Arial"/>
          <w:lang w:eastAsia="zh-CN"/>
        </w:rPr>
        <w:t>实质等同性信息</w:t>
      </w:r>
    </w:p>
    <w:p w14:paraId="289DDD63">
      <w:pPr>
        <w:snapToGrid w:val="0"/>
        <w:spacing w:line="300" w:lineRule="auto"/>
        <w:jc w:val="both"/>
        <w:rPr>
          <w:rFonts w:ascii="Arial" w:hAnsi="Arial" w:eastAsia="宋体" w:cs="Arial"/>
          <w:b/>
          <w:bCs/>
        </w:rPr>
      </w:pPr>
    </w:p>
    <w:p w14:paraId="61CBB9F7">
      <w:pPr>
        <w:pStyle w:val="12"/>
        <w:numPr>
          <w:ilvl w:val="0"/>
          <w:numId w:val="10"/>
        </w:numPr>
        <w:tabs>
          <w:tab w:val="left" w:pos="821"/>
        </w:tabs>
        <w:snapToGrid w:val="0"/>
        <w:spacing w:before="43"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必须确定与</w:t>
      </w:r>
      <w:r>
        <w:rPr>
          <w:rFonts w:hint="eastAsia" w:ascii="Arial" w:hAnsi="Arial" w:eastAsia="宋体" w:cs="Arial"/>
          <w:spacing w:val="-3"/>
          <w:sz w:val="24"/>
          <w:szCs w:val="24"/>
          <w:lang w:eastAsia="zh-CN"/>
        </w:rPr>
        <w:t>主体</w:t>
      </w:r>
      <w:r>
        <w:rPr>
          <w:rFonts w:ascii="Arial" w:hAnsi="Arial" w:eastAsia="宋体" w:cs="Arial"/>
          <w:spacing w:val="-3"/>
          <w:sz w:val="24"/>
          <w:szCs w:val="24"/>
          <w:lang w:eastAsia="zh-CN"/>
        </w:rPr>
        <w:t>器械进行比较以确定实质等同性的合法上市比较器械。必须提供证据证明该器械非出于研究用途或作为工厂与工厂间转移的一部分而被纳入州际贸易，且实际上已对其进行相应标记并为上市前通告提交者声称具有实质等同性的预期用途进行推广。这可以通过提供公司广告、目录页面或1976年5月28日之前的其他宣传资料的副本，</w:t>
      </w:r>
      <w:r>
        <w:rPr>
          <w:rFonts w:hint="eastAsia" w:ascii="Arial" w:hAnsi="Arial" w:eastAsia="宋体" w:cs="Arial"/>
          <w:spacing w:val="-3"/>
          <w:sz w:val="24"/>
          <w:szCs w:val="24"/>
          <w:u w:val="single"/>
          <w:lang w:eastAsia="zh-CN"/>
        </w:rPr>
        <w:t>以及</w:t>
      </w:r>
      <w:r>
        <w:rPr>
          <w:rFonts w:ascii="Arial" w:hAnsi="Arial" w:eastAsia="宋体" w:cs="Arial"/>
          <w:spacing w:val="-3"/>
          <w:sz w:val="24"/>
          <w:szCs w:val="24"/>
          <w:lang w:eastAsia="zh-CN"/>
        </w:rPr>
        <w:t>发货单、提单、收据等证明器械</w:t>
      </w:r>
      <w:r>
        <w:rPr>
          <w:rFonts w:hint="eastAsia" w:ascii="Arial" w:hAnsi="Arial" w:eastAsia="宋体" w:cs="Arial"/>
          <w:spacing w:val="-3"/>
          <w:sz w:val="24"/>
          <w:szCs w:val="24"/>
          <w:u w:val="single"/>
          <w:lang w:eastAsia="zh-CN"/>
        </w:rPr>
        <w:t>州际</w:t>
      </w:r>
      <w:r>
        <w:rPr>
          <w:rFonts w:ascii="Arial" w:hAnsi="Arial" w:eastAsia="宋体" w:cs="Arial"/>
          <w:spacing w:val="-3"/>
          <w:sz w:val="24"/>
          <w:szCs w:val="24"/>
          <w:lang w:eastAsia="zh-CN"/>
        </w:rPr>
        <w:t>运输的运输文件来完成（有关其他可用于证明修订前状态的信息，请联系DSMA）。</w:t>
      </w:r>
    </w:p>
    <w:p w14:paraId="4A7150D5">
      <w:pPr>
        <w:pStyle w:val="5"/>
        <w:snapToGrid w:val="0"/>
        <w:spacing w:before="119" w:line="300" w:lineRule="auto"/>
        <w:ind w:left="727" w:leftChars="303" w:firstLine="0"/>
        <w:jc w:val="both"/>
        <w:rPr>
          <w:rFonts w:ascii="Arial" w:hAnsi="Arial" w:eastAsia="宋体" w:cs="Arial"/>
        </w:rPr>
      </w:pPr>
      <w:r>
        <w:rPr>
          <w:rFonts w:ascii="Arial" w:hAnsi="Arial" w:eastAsia="宋体" w:cs="Arial"/>
          <w:spacing w:val="-3"/>
          <w:lang w:eastAsia="zh-CN"/>
        </w:rPr>
        <w:t>或者，可确定比较器械的510（k）编号。510（k）编号可以从小型制造商协助司（DSMA）的自动检索系统电子文档（ED）获得，该系统提供医疗器械法规、FDA谈话文件和新闻稿、器械评价指南和按申请人名称排序的所有已批准的510（k）列表。此510（k）信息位于产品许可主菜单项编号12下方。致电（301）594-4802或（800）252-1366。有关如何评估此信息的更多指南，请联系DSMA。</w:t>
      </w:r>
      <w:r>
        <w:rPr>
          <w:rFonts w:ascii="Arial" w:hAnsi="Arial" w:eastAsia="宋体" w:cs="Arial"/>
          <w:spacing w:val="-3"/>
        </w:rPr>
        <w:t>拨打免费电话（800）638-2041</w:t>
      </w:r>
      <w:r>
        <w:rPr>
          <w:rFonts w:ascii="Arial" w:hAnsi="Arial" w:eastAsia="宋体" w:cs="Arial"/>
          <w:spacing w:val="-3"/>
          <w:lang w:eastAsia="zh-CN"/>
        </w:rPr>
        <w:t>、</w:t>
      </w:r>
      <w:r>
        <w:rPr>
          <w:rFonts w:ascii="Arial" w:hAnsi="Arial" w:eastAsia="宋体" w:cs="Arial"/>
          <w:spacing w:val="-3"/>
        </w:rPr>
        <w:t>（301）443-6597或</w:t>
      </w:r>
      <w:r>
        <w:rPr>
          <w:rFonts w:ascii="Arial" w:hAnsi="Arial" w:eastAsia="宋体" w:cs="Arial"/>
          <w:spacing w:val="-3"/>
          <w:lang w:eastAsia="zh-CN"/>
        </w:rPr>
        <w:t>发</w:t>
      </w:r>
      <w:r>
        <w:rPr>
          <w:rFonts w:ascii="Arial" w:hAnsi="Arial" w:eastAsia="宋体" w:cs="Arial"/>
          <w:spacing w:val="-3"/>
        </w:rPr>
        <w:t>传真</w:t>
      </w:r>
      <w:r>
        <w:rPr>
          <w:rFonts w:ascii="Arial" w:hAnsi="Arial" w:eastAsia="宋体" w:cs="Arial"/>
          <w:spacing w:val="-3"/>
          <w:lang w:eastAsia="zh-CN"/>
        </w:rPr>
        <w:t>至</w:t>
      </w:r>
      <w:r>
        <w:rPr>
          <w:rFonts w:ascii="Arial" w:hAnsi="Arial" w:eastAsia="宋体" w:cs="Arial"/>
          <w:spacing w:val="-3"/>
        </w:rPr>
        <w:t>（301）443-8818。</w:t>
      </w:r>
    </w:p>
    <w:p w14:paraId="48E95FA0">
      <w:pPr>
        <w:tabs>
          <w:tab w:val="left" w:pos="821"/>
        </w:tabs>
        <w:snapToGrid w:val="0"/>
        <w:spacing w:before="43" w:line="300" w:lineRule="auto"/>
        <w:jc w:val="both"/>
        <w:rPr>
          <w:rFonts w:ascii="Arial" w:hAnsi="Arial" w:eastAsia="宋体" w:cs="Arial"/>
        </w:rPr>
      </w:pPr>
    </w:p>
    <w:p w14:paraId="58B7F9BB">
      <w:pPr>
        <w:widowControl w:val="0"/>
        <w:rPr>
          <w:rFonts w:ascii="Arial" w:hAnsi="Arial" w:eastAsia="宋体" w:cs="Arial"/>
          <w:spacing w:val="-3"/>
        </w:rPr>
      </w:pPr>
      <w:r>
        <w:rPr>
          <w:rFonts w:ascii="Arial" w:hAnsi="Arial" w:eastAsia="宋体" w:cs="Arial"/>
          <w:spacing w:val="-3"/>
        </w:rPr>
        <w:br w:type="page"/>
      </w:r>
    </w:p>
    <w:p w14:paraId="5DBD9F16">
      <w:pPr>
        <w:pStyle w:val="12"/>
        <w:numPr>
          <w:ilvl w:val="0"/>
          <w:numId w:val="10"/>
        </w:numPr>
        <w:tabs>
          <w:tab w:val="left" w:pos="821"/>
        </w:tabs>
        <w:snapToGrid w:val="0"/>
        <w:spacing w:before="43"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交材料应提供对新型和比较器械之间所有显著相似点和差异的说明。为了方便审查，提交材料应提供一个汇总表，其中根据预期医疗用途、功能和物理特性（包括安全特性）对两种器械进行比较。此外，提交材料应提供关于在安全性和有效性考虑方面新器械与比较器械的实质等同性的书面总结。</w:t>
      </w:r>
    </w:p>
    <w:p w14:paraId="4E8D00BC">
      <w:pPr>
        <w:snapToGrid w:val="0"/>
        <w:spacing w:before="9" w:line="300" w:lineRule="auto"/>
        <w:jc w:val="both"/>
        <w:rPr>
          <w:rFonts w:ascii="Arial" w:hAnsi="Arial" w:eastAsia="宋体" w:cs="Arial"/>
        </w:rPr>
      </w:pPr>
    </w:p>
    <w:p w14:paraId="12620743">
      <w:pPr>
        <w:snapToGrid w:val="0"/>
        <w:spacing w:before="9" w:line="300" w:lineRule="auto"/>
        <w:jc w:val="both"/>
        <w:rPr>
          <w:rFonts w:ascii="Arial" w:hAnsi="Arial" w:eastAsia="宋体" w:cs="Arial"/>
        </w:rPr>
      </w:pPr>
    </w:p>
    <w:p w14:paraId="55BD5C72">
      <w:pPr>
        <w:pStyle w:val="3"/>
        <w:snapToGrid w:val="0"/>
        <w:spacing w:line="300" w:lineRule="auto"/>
        <w:ind w:left="0"/>
        <w:jc w:val="both"/>
        <w:rPr>
          <w:rFonts w:ascii="Arial" w:hAnsi="Arial" w:eastAsia="宋体" w:cs="Arial"/>
          <w:spacing w:val="-3"/>
        </w:rPr>
      </w:pPr>
      <w:r>
        <w:rPr>
          <w:rFonts w:ascii="Arial" w:hAnsi="Arial" w:eastAsia="宋体" w:cs="Arial"/>
        </w:rPr>
        <w:t>510（K）</w:t>
      </w:r>
      <w:r>
        <w:rPr>
          <w:rFonts w:ascii="Arial" w:hAnsi="Arial" w:eastAsia="宋体" w:cs="Arial"/>
          <w:spacing w:val="-3"/>
        </w:rPr>
        <w:t>概要或声明</w:t>
      </w:r>
    </w:p>
    <w:p w14:paraId="2B654301">
      <w:pPr>
        <w:pStyle w:val="12"/>
        <w:numPr>
          <w:ilvl w:val="0"/>
          <w:numId w:val="11"/>
        </w:numPr>
        <w:tabs>
          <w:tab w:val="left" w:pos="821"/>
        </w:tabs>
        <w:snapToGrid w:val="0"/>
        <w:spacing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根据21 CFR 807.92中规定的内容和格式要求，应在上市前通告提交材料中提供510（k）安全性和有效性信息书面摘要，其中，可以据此做出等同性测定，或</w:t>
      </w:r>
    </w:p>
    <w:p w14:paraId="66C853FA">
      <w:pPr>
        <w:pStyle w:val="12"/>
        <w:numPr>
          <w:ilvl w:val="0"/>
          <w:numId w:val="11"/>
        </w:numPr>
        <w:tabs>
          <w:tab w:val="left" w:pos="821"/>
        </w:tabs>
        <w:snapToGrid w:val="0"/>
        <w:spacing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提供一份510（k）声明，以表明在收到请求将向相关人员提供安全性和有效性信息。该声明必须遵循该格式，并包含21 CFR 807.93中规定的措辞。</w:t>
      </w:r>
    </w:p>
    <w:p w14:paraId="2E4A9D20">
      <w:pPr>
        <w:snapToGrid w:val="0"/>
        <w:spacing w:before="9" w:line="300" w:lineRule="auto"/>
        <w:jc w:val="both"/>
        <w:rPr>
          <w:rFonts w:ascii="Arial" w:hAnsi="Arial" w:eastAsia="宋体" w:cs="Arial"/>
        </w:rPr>
      </w:pPr>
    </w:p>
    <w:p w14:paraId="7F7A9F66">
      <w:pPr>
        <w:pStyle w:val="3"/>
        <w:snapToGrid w:val="0"/>
        <w:spacing w:line="300" w:lineRule="auto"/>
        <w:ind w:left="0"/>
        <w:jc w:val="both"/>
        <w:rPr>
          <w:rFonts w:ascii="Arial" w:hAnsi="Arial" w:eastAsia="宋体" w:cs="Arial"/>
          <w:lang w:eastAsia="zh-CN"/>
        </w:rPr>
      </w:pPr>
      <w:r>
        <w:rPr>
          <w:rFonts w:ascii="Arial" w:hAnsi="Arial" w:eastAsia="宋体" w:cs="Arial"/>
          <w:lang w:eastAsia="zh-CN"/>
        </w:rPr>
        <w:t>真实性和准确性声明</w:t>
      </w:r>
    </w:p>
    <w:p w14:paraId="750C8309">
      <w:pPr>
        <w:snapToGrid w:val="0"/>
        <w:spacing w:before="9" w:line="300" w:lineRule="auto"/>
        <w:jc w:val="both"/>
        <w:rPr>
          <w:rFonts w:ascii="Arial" w:hAnsi="Arial" w:eastAsia="宋体" w:cs="Arial"/>
        </w:rPr>
      </w:pPr>
      <w:r>
        <w:rPr>
          <w:rFonts w:ascii="Arial" w:hAnsi="Arial" w:eastAsia="宋体" w:cs="Arial"/>
        </w:rPr>
        <w:t>根据21 CFR 807.87（j）的要求，应提供一份声明，以表明上市前通告中提交的所有数据和信息均真实准确，并且未遗漏任何重大事实。</w:t>
      </w:r>
    </w:p>
    <w:p w14:paraId="7C0BEF92">
      <w:pPr>
        <w:pStyle w:val="5"/>
        <w:snapToGrid w:val="0"/>
        <w:spacing w:line="300" w:lineRule="auto"/>
        <w:ind w:left="0" w:firstLine="0"/>
        <w:jc w:val="both"/>
        <w:rPr>
          <w:rFonts w:ascii="Arial" w:hAnsi="Arial" w:eastAsia="宋体" w:cs="Arial"/>
          <w:lang w:eastAsia="zh-CN"/>
        </w:rPr>
      </w:pPr>
    </w:p>
    <w:p w14:paraId="689E78B0">
      <w:pPr>
        <w:snapToGrid w:val="0"/>
        <w:spacing w:line="300" w:lineRule="auto"/>
        <w:jc w:val="center"/>
        <w:rPr>
          <w:rFonts w:hint="eastAsia" w:eastAsia="宋体"/>
          <w:lang w:eastAsia="zh-CN"/>
        </w:rPr>
      </w:pPr>
    </w:p>
    <w:p w14:paraId="21A7B169">
      <w:pPr>
        <w:snapToGrid w:val="0"/>
        <w:spacing w:line="300" w:lineRule="auto"/>
        <w:jc w:val="center"/>
        <w:rPr>
          <w:rFonts w:hint="eastAsia" w:eastAsia="宋体"/>
          <w:lang w:eastAsia="zh-CN"/>
        </w:rPr>
      </w:pPr>
    </w:p>
    <w:p w14:paraId="1ADC389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2240" w:h="15840"/>
      <w:pgMar w:top="1134" w:right="1134" w:bottom="1134" w:left="1134" w:header="0" w:footer="98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52CE">
    <w:pPr>
      <w:pStyle w:val="5"/>
      <w:spacing w:line="265" w:lineRule="exact"/>
      <w:ind w:left="20" w:firstLine="0"/>
      <w:jc w:val="center"/>
      <w:rPr>
        <w:rFonts w:ascii="Arial" w:hAnsi="Arial" w:eastAsia="宋体" w:cs="Arial"/>
      </w:rPr>
    </w:pPr>
    <w:r>
      <w:rPr>
        <w:rFonts w:ascii="Arial" w:hAnsi="Arial" w:eastAsia="宋体" w:cs="Arial"/>
        <w:lang w:eastAsia="zh-CN"/>
      </w:rPr>
      <w:t>第</w:t>
    </w:r>
    <w:r>
      <w:rPr>
        <w:rFonts w:ascii="Arial" w:hAnsi="Arial" w:eastAsia="宋体" w:cs="Arial"/>
      </w:rPr>
      <w:fldChar w:fldCharType="begin"/>
    </w:r>
    <w:r>
      <w:rPr>
        <w:rFonts w:ascii="Arial" w:hAnsi="Arial" w:eastAsia="宋体" w:cs="Arial"/>
      </w:rPr>
      <w:instrText xml:space="preserve"> PAGE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lang w:eastAsia="zh-CN"/>
      </w:rPr>
      <w:t>页</w:t>
    </w:r>
  </w:p>
  <w:p w14:paraId="5064A35A">
    <w:pPr>
      <w:spacing w:line="14" w:lineRule="auto"/>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AA4B">
    <w:pPr>
      <w:spacing w:line="14" w:lineRule="auto"/>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3674110</wp:posOffset>
              </wp:positionH>
              <wp:positionV relativeFrom="page">
                <wp:posOffset>9291955</wp:posOffset>
              </wp:positionV>
              <wp:extent cx="756920" cy="177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756920" cy="177800"/>
                      </a:xfrm>
                      <a:prstGeom prst="rect">
                        <a:avLst/>
                      </a:prstGeom>
                      <a:noFill/>
                      <a:ln>
                        <a:noFill/>
                      </a:ln>
                    </wps:spPr>
                    <wps:txbx>
                      <w:txbxContent>
                        <w:p w14:paraId="2AF5146C">
                          <w:pPr>
                            <w:pStyle w:val="5"/>
                            <w:spacing w:line="265" w:lineRule="exact"/>
                            <w:ind w:left="20" w:firstLine="0"/>
                            <w:rPr>
                              <w:rFonts w:eastAsiaTheme="minorEastAsia"/>
                              <w:lang w:eastAsia="zh-CN"/>
                            </w:rPr>
                          </w:pPr>
                          <w:r>
                            <w:rPr>
                              <w:rFonts w:hint="eastAsia" w:eastAsiaTheme="minorEastAsia"/>
                              <w:spacing w:val="-1"/>
                              <w:lang w:eastAsia="zh-CN"/>
                            </w:rPr>
                            <w:t>第</w:t>
                          </w:r>
                          <w:r>
                            <w:fldChar w:fldCharType="begin"/>
                          </w:r>
                          <w:r>
                            <w:instrText xml:space="preserve"> PAGE </w:instrText>
                          </w:r>
                          <w:r>
                            <w:fldChar w:fldCharType="separate"/>
                          </w:r>
                          <w:r>
                            <w:t>7</w:t>
                          </w:r>
                          <w:r>
                            <w:fldChar w:fldCharType="end"/>
                          </w:r>
                          <w:r>
                            <w:rPr>
                              <w:rFonts w:hint="eastAsia" w:eastAsiaTheme="minorEastAsia"/>
                              <w:lang w:eastAsia="zh-CN"/>
                            </w:rPr>
                            <w:t>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9.3pt;margin-top:731.65pt;height:14pt;width:59.6pt;mso-position-horizontal-relative:page;mso-position-vertical-relative:page;z-index:-251657216;mso-width-relative:page;mso-height-relative:page;" filled="f" stroked="f" coordsize="21600,21600" o:gfxdata="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siDm9sAAAANAQAADwAAAAAAAAABACAAAAAiAAAAZHJzL2Rvd25y&#10;ZXYueG1sUEsBAhQAFAAAAAgAh07iQILfzbL7AQAAAwQAAA4AAAAAAAAAAQAgAAAAKgEAAGRycy9l&#10;Mm9Eb2MueG1sUEsFBgAAAAAGAAYAWQEAAJcFAAAAAA==&#10;">
              <v:fill on="f" focussize="0,0"/>
              <v:stroke on="f"/>
              <v:imagedata o:title=""/>
              <o:lock v:ext="edit" aspectratio="f"/>
              <v:textbox inset="0mm,0mm,0mm,0mm">
                <w:txbxContent>
                  <w:p w14:paraId="2AF5146C">
                    <w:pPr>
                      <w:pStyle w:val="5"/>
                      <w:spacing w:line="265" w:lineRule="exact"/>
                      <w:ind w:left="20" w:firstLine="0"/>
                      <w:rPr>
                        <w:rFonts w:eastAsiaTheme="minorEastAsia"/>
                        <w:lang w:eastAsia="zh-CN"/>
                      </w:rPr>
                    </w:pPr>
                    <w:r>
                      <w:rPr>
                        <w:rFonts w:hint="eastAsia" w:eastAsiaTheme="minorEastAsia"/>
                        <w:spacing w:val="-1"/>
                        <w:lang w:eastAsia="zh-CN"/>
                      </w:rPr>
                      <w:t>第</w:t>
                    </w:r>
                    <w:r>
                      <w:fldChar w:fldCharType="begin"/>
                    </w:r>
                    <w:r>
                      <w:instrText xml:space="preserve"> PAGE </w:instrText>
                    </w:r>
                    <w:r>
                      <w:fldChar w:fldCharType="separate"/>
                    </w:r>
                    <w:r>
                      <w:t>7</w:t>
                    </w:r>
                    <w:r>
                      <w:fldChar w:fldCharType="end"/>
                    </w:r>
                    <w:r>
                      <w:rPr>
                        <w:rFonts w:hint="eastAsia" w:eastAsiaTheme="minor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B7A7C"/>
    <w:multiLevelType w:val="multilevel"/>
    <w:tmpl w:val="19AB7A7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55459"/>
    <w:multiLevelType w:val="multilevel"/>
    <w:tmpl w:val="1F455459"/>
    <w:lvl w:ilvl="0" w:tentative="0">
      <w:start w:val="1"/>
      <w:numFmt w:val="lowerLetter"/>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8E62A9"/>
    <w:multiLevelType w:val="multilevel"/>
    <w:tmpl w:val="3C8E62A9"/>
    <w:lvl w:ilvl="0" w:tentative="0">
      <w:start w:val="1"/>
      <w:numFmt w:val="lowerLetter"/>
      <w:lvlText w:val="%1."/>
      <w:lvlJc w:val="left"/>
      <w:pPr>
        <w:ind w:left="820" w:hanging="720"/>
      </w:pPr>
      <w:rPr>
        <w:rFonts w:hint="default" w:ascii="Times New Roman" w:hAnsi="Times New Roman" w:eastAsia="Times New Roman"/>
        <w:spacing w:val="-3"/>
        <w:w w:val="100"/>
        <w:sz w:val="24"/>
        <w:szCs w:val="24"/>
      </w:rPr>
    </w:lvl>
    <w:lvl w:ilvl="1" w:tentative="0">
      <w:start w:val="1"/>
      <w:numFmt w:val="lowerLetter"/>
      <w:lvlText w:val="%2."/>
      <w:lvlJc w:val="left"/>
      <w:pPr>
        <w:ind w:left="1540" w:hanging="721"/>
      </w:pPr>
      <w:rPr>
        <w:rFonts w:hint="default" w:ascii="Arial" w:hAnsi="Arial" w:eastAsia="Times New Roman" w:cs="Arial"/>
        <w:spacing w:val="-3"/>
        <w:w w:val="100"/>
        <w:sz w:val="24"/>
        <w:szCs w:val="24"/>
      </w:rPr>
    </w:lvl>
    <w:lvl w:ilvl="2" w:tentative="0">
      <w:start w:val="1"/>
      <w:numFmt w:val="bullet"/>
      <w:lvlText w:val="•"/>
      <w:lvlJc w:val="left"/>
      <w:pPr>
        <w:ind w:left="2433" w:hanging="721"/>
      </w:pPr>
      <w:rPr>
        <w:rFonts w:hint="default"/>
      </w:rPr>
    </w:lvl>
    <w:lvl w:ilvl="3" w:tentative="0">
      <w:start w:val="1"/>
      <w:numFmt w:val="bullet"/>
      <w:lvlText w:val="•"/>
      <w:lvlJc w:val="left"/>
      <w:pPr>
        <w:ind w:left="3326" w:hanging="721"/>
      </w:pPr>
      <w:rPr>
        <w:rFonts w:hint="default"/>
      </w:rPr>
    </w:lvl>
    <w:lvl w:ilvl="4" w:tentative="0">
      <w:start w:val="1"/>
      <w:numFmt w:val="bullet"/>
      <w:lvlText w:val="•"/>
      <w:lvlJc w:val="left"/>
      <w:pPr>
        <w:ind w:left="4220" w:hanging="721"/>
      </w:pPr>
      <w:rPr>
        <w:rFonts w:hint="default"/>
      </w:rPr>
    </w:lvl>
    <w:lvl w:ilvl="5" w:tentative="0">
      <w:start w:val="1"/>
      <w:numFmt w:val="bullet"/>
      <w:lvlText w:val="•"/>
      <w:lvlJc w:val="left"/>
      <w:pPr>
        <w:ind w:left="5113" w:hanging="721"/>
      </w:pPr>
      <w:rPr>
        <w:rFonts w:hint="default"/>
      </w:rPr>
    </w:lvl>
    <w:lvl w:ilvl="6" w:tentative="0">
      <w:start w:val="1"/>
      <w:numFmt w:val="bullet"/>
      <w:lvlText w:val="•"/>
      <w:lvlJc w:val="left"/>
      <w:pPr>
        <w:ind w:left="6006" w:hanging="721"/>
      </w:pPr>
      <w:rPr>
        <w:rFonts w:hint="default"/>
      </w:rPr>
    </w:lvl>
    <w:lvl w:ilvl="7" w:tentative="0">
      <w:start w:val="1"/>
      <w:numFmt w:val="bullet"/>
      <w:lvlText w:val="•"/>
      <w:lvlJc w:val="left"/>
      <w:pPr>
        <w:ind w:left="6900" w:hanging="721"/>
      </w:pPr>
      <w:rPr>
        <w:rFonts w:hint="default"/>
      </w:rPr>
    </w:lvl>
    <w:lvl w:ilvl="8" w:tentative="0">
      <w:start w:val="1"/>
      <w:numFmt w:val="bullet"/>
      <w:lvlText w:val="•"/>
      <w:lvlJc w:val="left"/>
      <w:pPr>
        <w:ind w:left="7793" w:hanging="721"/>
      </w:pPr>
      <w:rPr>
        <w:rFonts w:hint="default"/>
      </w:rPr>
    </w:lvl>
  </w:abstractNum>
  <w:abstractNum w:abstractNumId="3">
    <w:nsid w:val="3F084EB8"/>
    <w:multiLevelType w:val="multilevel"/>
    <w:tmpl w:val="3F084E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5A6882"/>
    <w:multiLevelType w:val="multilevel"/>
    <w:tmpl w:val="4F5A6882"/>
    <w:lvl w:ilvl="0" w:tentative="0">
      <w:start w:val="1"/>
      <w:numFmt w:val="decimal"/>
      <w:lvlText w:val="%1."/>
      <w:lvlJc w:val="left"/>
      <w:pPr>
        <w:ind w:left="820" w:hanging="720"/>
      </w:pPr>
      <w:rPr>
        <w:rFonts w:hint="default" w:ascii="Arial" w:hAnsi="Arial" w:eastAsia="Times New Roman" w:cs="Arial"/>
        <w:spacing w:val="-27"/>
        <w:w w:val="99"/>
        <w:sz w:val="24"/>
        <w:szCs w:val="24"/>
      </w:rPr>
    </w:lvl>
    <w:lvl w:ilvl="1" w:tentative="0">
      <w:start w:val="1"/>
      <w:numFmt w:val="bullet"/>
      <w:lvlText w:val="•"/>
      <w:lvlJc w:val="left"/>
      <w:pPr>
        <w:ind w:left="1696" w:hanging="720"/>
      </w:pPr>
      <w:rPr>
        <w:rFonts w:hint="default"/>
      </w:rPr>
    </w:lvl>
    <w:lvl w:ilvl="2" w:tentative="0">
      <w:start w:val="1"/>
      <w:numFmt w:val="bullet"/>
      <w:lvlText w:val="•"/>
      <w:lvlJc w:val="left"/>
      <w:pPr>
        <w:ind w:left="2572" w:hanging="720"/>
      </w:pPr>
      <w:rPr>
        <w:rFonts w:hint="default"/>
      </w:rPr>
    </w:lvl>
    <w:lvl w:ilvl="3" w:tentative="0">
      <w:start w:val="1"/>
      <w:numFmt w:val="bullet"/>
      <w:lvlText w:val="•"/>
      <w:lvlJc w:val="left"/>
      <w:pPr>
        <w:ind w:left="3448" w:hanging="720"/>
      </w:pPr>
      <w:rPr>
        <w:rFonts w:hint="default"/>
      </w:rPr>
    </w:lvl>
    <w:lvl w:ilvl="4" w:tentative="0">
      <w:start w:val="1"/>
      <w:numFmt w:val="bullet"/>
      <w:lvlText w:val="•"/>
      <w:lvlJc w:val="left"/>
      <w:pPr>
        <w:ind w:left="4324" w:hanging="720"/>
      </w:pPr>
      <w:rPr>
        <w:rFonts w:hint="default"/>
      </w:rPr>
    </w:lvl>
    <w:lvl w:ilvl="5" w:tentative="0">
      <w:start w:val="1"/>
      <w:numFmt w:val="bullet"/>
      <w:lvlText w:val="•"/>
      <w:lvlJc w:val="left"/>
      <w:pPr>
        <w:ind w:left="5200" w:hanging="720"/>
      </w:pPr>
      <w:rPr>
        <w:rFonts w:hint="default"/>
      </w:rPr>
    </w:lvl>
    <w:lvl w:ilvl="6" w:tentative="0">
      <w:start w:val="1"/>
      <w:numFmt w:val="bullet"/>
      <w:lvlText w:val="•"/>
      <w:lvlJc w:val="left"/>
      <w:pPr>
        <w:ind w:left="6076" w:hanging="720"/>
      </w:pPr>
      <w:rPr>
        <w:rFonts w:hint="default"/>
      </w:rPr>
    </w:lvl>
    <w:lvl w:ilvl="7" w:tentative="0">
      <w:start w:val="1"/>
      <w:numFmt w:val="bullet"/>
      <w:lvlText w:val="•"/>
      <w:lvlJc w:val="left"/>
      <w:pPr>
        <w:ind w:left="6952" w:hanging="720"/>
      </w:pPr>
      <w:rPr>
        <w:rFonts w:hint="default"/>
      </w:rPr>
    </w:lvl>
    <w:lvl w:ilvl="8" w:tentative="0">
      <w:start w:val="1"/>
      <w:numFmt w:val="bullet"/>
      <w:lvlText w:val="•"/>
      <w:lvlJc w:val="left"/>
      <w:pPr>
        <w:ind w:left="7828" w:hanging="720"/>
      </w:pPr>
      <w:rPr>
        <w:rFonts w:hint="default"/>
      </w:rPr>
    </w:lvl>
  </w:abstractNum>
  <w:abstractNum w:abstractNumId="5">
    <w:nsid w:val="55D505AA"/>
    <w:multiLevelType w:val="multilevel"/>
    <w:tmpl w:val="55D505AA"/>
    <w:lvl w:ilvl="0" w:tentative="0">
      <w:start w:val="1"/>
      <w:numFmt w:val="decimal"/>
      <w:lvlText w:val="%1."/>
      <w:lvlJc w:val="left"/>
      <w:pPr>
        <w:ind w:left="520" w:hanging="420"/>
      </w:p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6">
    <w:nsid w:val="5B4229B1"/>
    <w:multiLevelType w:val="multilevel"/>
    <w:tmpl w:val="5B4229B1"/>
    <w:lvl w:ilvl="0" w:tentative="0">
      <w:start w:val="1"/>
      <w:numFmt w:val="lowerLetter"/>
      <w:lvlText w:val="%1."/>
      <w:lvlJc w:val="left"/>
      <w:pPr>
        <w:ind w:left="520" w:hanging="420"/>
      </w:pPr>
      <w:rPr>
        <w:rFonts w:hint="default" w:ascii="Arial" w:hAnsi="Arial" w:eastAsia="Times New Roman" w:cs="Arial"/>
        <w:spacing w:val="-3"/>
        <w:w w:val="100"/>
        <w:sz w:val="24"/>
        <w:szCs w:val="24"/>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7">
    <w:nsid w:val="63CE25A8"/>
    <w:multiLevelType w:val="multilevel"/>
    <w:tmpl w:val="63CE2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63310E"/>
    <w:multiLevelType w:val="multilevel"/>
    <w:tmpl w:val="6D63310E"/>
    <w:lvl w:ilvl="0" w:tentative="0">
      <w:start w:val="1"/>
      <w:numFmt w:val="decimal"/>
      <w:lvlText w:val="%1."/>
      <w:lvlJc w:val="left"/>
      <w:pPr>
        <w:ind w:left="820" w:hanging="720"/>
      </w:pPr>
      <w:rPr>
        <w:rFonts w:hint="default" w:ascii="Arial" w:hAnsi="Arial" w:eastAsia="Times New Roman" w:cs="Arial"/>
        <w:spacing w:val="-5"/>
        <w:w w:val="100"/>
        <w:sz w:val="24"/>
        <w:szCs w:val="24"/>
      </w:rPr>
    </w:lvl>
    <w:lvl w:ilvl="1" w:tentative="0">
      <w:start w:val="1"/>
      <w:numFmt w:val="bullet"/>
      <w:lvlText w:val="•"/>
      <w:lvlJc w:val="left"/>
      <w:pPr>
        <w:ind w:left="1696" w:hanging="720"/>
      </w:pPr>
      <w:rPr>
        <w:rFonts w:hint="default"/>
      </w:rPr>
    </w:lvl>
    <w:lvl w:ilvl="2" w:tentative="0">
      <w:start w:val="1"/>
      <w:numFmt w:val="bullet"/>
      <w:lvlText w:val="•"/>
      <w:lvlJc w:val="left"/>
      <w:pPr>
        <w:ind w:left="2572" w:hanging="720"/>
      </w:pPr>
      <w:rPr>
        <w:rFonts w:hint="default"/>
      </w:rPr>
    </w:lvl>
    <w:lvl w:ilvl="3" w:tentative="0">
      <w:start w:val="1"/>
      <w:numFmt w:val="bullet"/>
      <w:lvlText w:val="•"/>
      <w:lvlJc w:val="left"/>
      <w:pPr>
        <w:ind w:left="3448" w:hanging="720"/>
      </w:pPr>
      <w:rPr>
        <w:rFonts w:hint="default"/>
      </w:rPr>
    </w:lvl>
    <w:lvl w:ilvl="4" w:tentative="0">
      <w:start w:val="1"/>
      <w:numFmt w:val="bullet"/>
      <w:lvlText w:val="•"/>
      <w:lvlJc w:val="left"/>
      <w:pPr>
        <w:ind w:left="4324" w:hanging="720"/>
      </w:pPr>
      <w:rPr>
        <w:rFonts w:hint="default"/>
      </w:rPr>
    </w:lvl>
    <w:lvl w:ilvl="5" w:tentative="0">
      <w:start w:val="1"/>
      <w:numFmt w:val="bullet"/>
      <w:lvlText w:val="•"/>
      <w:lvlJc w:val="left"/>
      <w:pPr>
        <w:ind w:left="5200" w:hanging="720"/>
      </w:pPr>
      <w:rPr>
        <w:rFonts w:hint="default"/>
      </w:rPr>
    </w:lvl>
    <w:lvl w:ilvl="6" w:tentative="0">
      <w:start w:val="1"/>
      <w:numFmt w:val="bullet"/>
      <w:lvlText w:val="•"/>
      <w:lvlJc w:val="left"/>
      <w:pPr>
        <w:ind w:left="6076" w:hanging="720"/>
      </w:pPr>
      <w:rPr>
        <w:rFonts w:hint="default"/>
      </w:rPr>
    </w:lvl>
    <w:lvl w:ilvl="7" w:tentative="0">
      <w:start w:val="1"/>
      <w:numFmt w:val="bullet"/>
      <w:lvlText w:val="•"/>
      <w:lvlJc w:val="left"/>
      <w:pPr>
        <w:ind w:left="6952" w:hanging="720"/>
      </w:pPr>
      <w:rPr>
        <w:rFonts w:hint="default"/>
      </w:rPr>
    </w:lvl>
    <w:lvl w:ilvl="8" w:tentative="0">
      <w:start w:val="1"/>
      <w:numFmt w:val="bullet"/>
      <w:lvlText w:val="•"/>
      <w:lvlJc w:val="left"/>
      <w:pPr>
        <w:ind w:left="7828" w:hanging="720"/>
      </w:pPr>
      <w:rPr>
        <w:rFonts w:hint="default"/>
      </w:rPr>
    </w:lvl>
  </w:abstractNum>
  <w:abstractNum w:abstractNumId="9">
    <w:nsid w:val="70857827"/>
    <w:multiLevelType w:val="multilevel"/>
    <w:tmpl w:val="708578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2E5132"/>
    <w:multiLevelType w:val="multilevel"/>
    <w:tmpl w:val="712E513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9"/>
  </w:num>
  <w:num w:numId="3">
    <w:abstractNumId w:val="7"/>
  </w:num>
  <w:num w:numId="4">
    <w:abstractNumId w:val="1"/>
  </w:num>
  <w:num w:numId="5">
    <w:abstractNumId w:val="0"/>
  </w:num>
  <w:num w:numId="6">
    <w:abstractNumId w:val="3"/>
  </w:num>
  <w:num w:numId="7">
    <w:abstractNumId w:val="5"/>
  </w:num>
  <w:num w:numId="8">
    <w:abstractNumId w:val="2"/>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B9"/>
    <w:rsid w:val="00000CD1"/>
    <w:rsid w:val="0002607E"/>
    <w:rsid w:val="0007602B"/>
    <w:rsid w:val="000B3D92"/>
    <w:rsid w:val="000E6B37"/>
    <w:rsid w:val="000E73AA"/>
    <w:rsid w:val="0013001F"/>
    <w:rsid w:val="00154D0D"/>
    <w:rsid w:val="00194B01"/>
    <w:rsid w:val="00194E2A"/>
    <w:rsid w:val="001B6689"/>
    <w:rsid w:val="001D3CA5"/>
    <w:rsid w:val="00217453"/>
    <w:rsid w:val="0024130B"/>
    <w:rsid w:val="002624A4"/>
    <w:rsid w:val="002641EB"/>
    <w:rsid w:val="00267E5E"/>
    <w:rsid w:val="00272ACE"/>
    <w:rsid w:val="00291457"/>
    <w:rsid w:val="002A527B"/>
    <w:rsid w:val="002C6D59"/>
    <w:rsid w:val="002D61BC"/>
    <w:rsid w:val="002E40A1"/>
    <w:rsid w:val="002F5A76"/>
    <w:rsid w:val="00323155"/>
    <w:rsid w:val="003511C9"/>
    <w:rsid w:val="003F1BFC"/>
    <w:rsid w:val="00403163"/>
    <w:rsid w:val="00416EED"/>
    <w:rsid w:val="00417310"/>
    <w:rsid w:val="00423898"/>
    <w:rsid w:val="004D2783"/>
    <w:rsid w:val="004F135F"/>
    <w:rsid w:val="00502B24"/>
    <w:rsid w:val="00504BBD"/>
    <w:rsid w:val="00517570"/>
    <w:rsid w:val="0054258C"/>
    <w:rsid w:val="0055347A"/>
    <w:rsid w:val="005A0A43"/>
    <w:rsid w:val="005B3501"/>
    <w:rsid w:val="005C7817"/>
    <w:rsid w:val="005E724E"/>
    <w:rsid w:val="00603095"/>
    <w:rsid w:val="00611649"/>
    <w:rsid w:val="006351FB"/>
    <w:rsid w:val="006565A3"/>
    <w:rsid w:val="006870E8"/>
    <w:rsid w:val="006A61B0"/>
    <w:rsid w:val="006C1B02"/>
    <w:rsid w:val="006C65AF"/>
    <w:rsid w:val="006E2B83"/>
    <w:rsid w:val="006E5741"/>
    <w:rsid w:val="007061CB"/>
    <w:rsid w:val="007152CC"/>
    <w:rsid w:val="00725B85"/>
    <w:rsid w:val="00743C6F"/>
    <w:rsid w:val="00762D1D"/>
    <w:rsid w:val="007A4A03"/>
    <w:rsid w:val="00807AA1"/>
    <w:rsid w:val="00810CFF"/>
    <w:rsid w:val="00811805"/>
    <w:rsid w:val="00813725"/>
    <w:rsid w:val="00816945"/>
    <w:rsid w:val="008207E8"/>
    <w:rsid w:val="00827971"/>
    <w:rsid w:val="00836261"/>
    <w:rsid w:val="00841A65"/>
    <w:rsid w:val="00853C4A"/>
    <w:rsid w:val="00875CBC"/>
    <w:rsid w:val="00894A32"/>
    <w:rsid w:val="008B2225"/>
    <w:rsid w:val="008C2478"/>
    <w:rsid w:val="008F264E"/>
    <w:rsid w:val="009052AA"/>
    <w:rsid w:val="00913361"/>
    <w:rsid w:val="00927E59"/>
    <w:rsid w:val="00943942"/>
    <w:rsid w:val="009600D1"/>
    <w:rsid w:val="00981179"/>
    <w:rsid w:val="00991FEF"/>
    <w:rsid w:val="00994FB9"/>
    <w:rsid w:val="009A1E7A"/>
    <w:rsid w:val="009A21A3"/>
    <w:rsid w:val="009B7EB5"/>
    <w:rsid w:val="009D66E3"/>
    <w:rsid w:val="009E4F6A"/>
    <w:rsid w:val="009F2215"/>
    <w:rsid w:val="00A0208F"/>
    <w:rsid w:val="00A02294"/>
    <w:rsid w:val="00A02585"/>
    <w:rsid w:val="00A02C17"/>
    <w:rsid w:val="00A361F3"/>
    <w:rsid w:val="00A551E0"/>
    <w:rsid w:val="00A66410"/>
    <w:rsid w:val="00A8760A"/>
    <w:rsid w:val="00A946FD"/>
    <w:rsid w:val="00AA1F9A"/>
    <w:rsid w:val="00AB7201"/>
    <w:rsid w:val="00AD2520"/>
    <w:rsid w:val="00AE2231"/>
    <w:rsid w:val="00AE4818"/>
    <w:rsid w:val="00B12BC6"/>
    <w:rsid w:val="00B3139C"/>
    <w:rsid w:val="00B32BDA"/>
    <w:rsid w:val="00B4494E"/>
    <w:rsid w:val="00B4725F"/>
    <w:rsid w:val="00B51B26"/>
    <w:rsid w:val="00B56591"/>
    <w:rsid w:val="00B67348"/>
    <w:rsid w:val="00B74B2D"/>
    <w:rsid w:val="00B909B0"/>
    <w:rsid w:val="00B9153E"/>
    <w:rsid w:val="00BC7CF4"/>
    <w:rsid w:val="00BC7D59"/>
    <w:rsid w:val="00BE7A26"/>
    <w:rsid w:val="00BF2EA5"/>
    <w:rsid w:val="00BF6174"/>
    <w:rsid w:val="00C05330"/>
    <w:rsid w:val="00C0740A"/>
    <w:rsid w:val="00C162B7"/>
    <w:rsid w:val="00C33A1A"/>
    <w:rsid w:val="00C51E67"/>
    <w:rsid w:val="00C57E6D"/>
    <w:rsid w:val="00C64E05"/>
    <w:rsid w:val="00CB22AB"/>
    <w:rsid w:val="00CB537C"/>
    <w:rsid w:val="00CF0268"/>
    <w:rsid w:val="00CF1E11"/>
    <w:rsid w:val="00CF4DF0"/>
    <w:rsid w:val="00D427CE"/>
    <w:rsid w:val="00D57FC2"/>
    <w:rsid w:val="00D8115E"/>
    <w:rsid w:val="00D84B5F"/>
    <w:rsid w:val="00DA62F9"/>
    <w:rsid w:val="00DB1C9A"/>
    <w:rsid w:val="00DE1067"/>
    <w:rsid w:val="00E039A3"/>
    <w:rsid w:val="00E15AC9"/>
    <w:rsid w:val="00E200B6"/>
    <w:rsid w:val="00E24F45"/>
    <w:rsid w:val="00E61739"/>
    <w:rsid w:val="00E64A4A"/>
    <w:rsid w:val="00E6500A"/>
    <w:rsid w:val="00E707C2"/>
    <w:rsid w:val="00E83A9B"/>
    <w:rsid w:val="00EC384F"/>
    <w:rsid w:val="00EC5F35"/>
    <w:rsid w:val="00ED39CF"/>
    <w:rsid w:val="00EF33F7"/>
    <w:rsid w:val="00F05BFF"/>
    <w:rsid w:val="00F17112"/>
    <w:rsid w:val="00F21243"/>
    <w:rsid w:val="00F47358"/>
    <w:rsid w:val="00F57678"/>
    <w:rsid w:val="00F72548"/>
    <w:rsid w:val="00F8049B"/>
    <w:rsid w:val="00F840C5"/>
    <w:rsid w:val="00F977AB"/>
    <w:rsid w:val="00FB4986"/>
    <w:rsid w:val="00FC7E95"/>
    <w:rsid w:val="00FD2FA3"/>
    <w:rsid w:val="00FF02EE"/>
    <w:rsid w:val="00FF1A2F"/>
    <w:rsid w:val="00FF32FE"/>
    <w:rsid w:val="3338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pPr>
    <w:rPr>
      <w:rFonts w:ascii="Times New Roman" w:hAnsi="Times New Roman" w:cs="Times New Roman" w:eastAsiaTheme="minorEastAsia"/>
      <w:sz w:val="24"/>
      <w:szCs w:val="24"/>
      <w:lang w:val="en-US" w:eastAsia="zh-CN" w:bidi="ar-SA"/>
    </w:rPr>
  </w:style>
  <w:style w:type="paragraph" w:styleId="2">
    <w:name w:val="heading 1"/>
    <w:basedOn w:val="1"/>
    <w:qFormat/>
    <w:uiPriority w:val="1"/>
    <w:pPr>
      <w:widowControl w:val="0"/>
      <w:ind w:left="76"/>
      <w:outlineLvl w:val="0"/>
    </w:pPr>
    <w:rPr>
      <w:rFonts w:eastAsia="Times New Roman" w:cstheme="minorBidi"/>
      <w:b/>
      <w:bCs/>
      <w:sz w:val="28"/>
      <w:szCs w:val="28"/>
      <w:lang w:eastAsia="en-US"/>
    </w:rPr>
  </w:style>
  <w:style w:type="paragraph" w:styleId="3">
    <w:name w:val="heading 2"/>
    <w:basedOn w:val="1"/>
    <w:qFormat/>
    <w:uiPriority w:val="1"/>
    <w:pPr>
      <w:widowControl w:val="0"/>
      <w:ind w:left="100"/>
      <w:outlineLvl w:val="1"/>
    </w:pPr>
    <w:rPr>
      <w:rFonts w:eastAsia="Times New Roman" w:cstheme="minorBidi"/>
      <w:b/>
      <w:bCs/>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14"/>
    <w:semiHidden/>
    <w:unhideWhenUsed/>
    <w:uiPriority w:val="99"/>
    <w:rPr>
      <w:rFonts w:ascii="宋体" w:eastAsia="宋体"/>
    </w:rPr>
  </w:style>
  <w:style w:type="paragraph" w:styleId="5">
    <w:name w:val="Body Text"/>
    <w:basedOn w:val="1"/>
    <w:qFormat/>
    <w:uiPriority w:val="1"/>
    <w:pPr>
      <w:widowControl w:val="0"/>
      <w:ind w:left="820" w:hanging="720"/>
    </w:pPr>
    <w:rPr>
      <w:rFonts w:eastAsia="Times New Roman" w:cstheme="minorBidi"/>
      <w:lang w:eastAsia="en-US"/>
    </w:rPr>
  </w:style>
  <w:style w:type="paragraph" w:styleId="6">
    <w:name w:val="Balloon Text"/>
    <w:basedOn w:val="1"/>
    <w:link w:val="17"/>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widowControl w:val="0"/>
    </w:pPr>
    <w:rPr>
      <w:rFonts w:asciiTheme="minorHAnsi" w:hAnsiTheme="minorHAnsi" w:cstheme="minorBidi"/>
      <w:sz w:val="22"/>
      <w:szCs w:val="22"/>
      <w:lang w:eastAsia="en-US"/>
    </w:rPr>
  </w:style>
  <w:style w:type="paragraph" w:customStyle="1" w:styleId="13">
    <w:name w:val="Table Paragraph"/>
    <w:basedOn w:val="1"/>
    <w:qFormat/>
    <w:uiPriority w:val="1"/>
    <w:pPr>
      <w:widowControl w:val="0"/>
    </w:pPr>
    <w:rPr>
      <w:rFonts w:asciiTheme="minorHAnsi" w:hAnsiTheme="minorHAnsi" w:cstheme="minorBidi"/>
      <w:sz w:val="22"/>
      <w:szCs w:val="22"/>
      <w:lang w:eastAsia="en-US"/>
    </w:rPr>
  </w:style>
  <w:style w:type="character" w:customStyle="1" w:styleId="14">
    <w:name w:val="文档结构图 Char"/>
    <w:basedOn w:val="10"/>
    <w:link w:val="4"/>
    <w:semiHidden/>
    <w:uiPriority w:val="99"/>
    <w:rPr>
      <w:rFonts w:ascii="宋体" w:hAnsi="Times New Roman" w:eastAsia="宋体" w:cs="Times New Roman"/>
      <w:sz w:val="24"/>
      <w:szCs w:val="24"/>
      <w:lang w:eastAsia="zh-CN"/>
    </w:rPr>
  </w:style>
  <w:style w:type="character" w:customStyle="1" w:styleId="15">
    <w:name w:val="页眉 Char"/>
    <w:basedOn w:val="10"/>
    <w:link w:val="8"/>
    <w:uiPriority w:val="99"/>
    <w:rPr>
      <w:rFonts w:ascii="Times New Roman" w:hAnsi="Times New Roman" w:cs="Times New Roman"/>
      <w:sz w:val="18"/>
      <w:szCs w:val="18"/>
      <w:lang w:eastAsia="zh-CN"/>
    </w:rPr>
  </w:style>
  <w:style w:type="character" w:customStyle="1" w:styleId="16">
    <w:name w:val="页脚 Char"/>
    <w:basedOn w:val="10"/>
    <w:link w:val="7"/>
    <w:qFormat/>
    <w:uiPriority w:val="99"/>
    <w:rPr>
      <w:rFonts w:ascii="Times New Roman" w:hAnsi="Times New Roman" w:cs="Times New Roman"/>
      <w:sz w:val="18"/>
      <w:szCs w:val="18"/>
      <w:lang w:eastAsia="zh-CN"/>
    </w:rPr>
  </w:style>
  <w:style w:type="character" w:customStyle="1" w:styleId="17">
    <w:name w:val="批注框文本 Char"/>
    <w:basedOn w:val="10"/>
    <w:link w:val="6"/>
    <w:semiHidden/>
    <w:qFormat/>
    <w:uiPriority w:val="99"/>
    <w:rPr>
      <w:rFonts w:ascii="Times New Roman" w:hAnsi="Times New Roman"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3590</Words>
  <Characters>4130</Characters>
  <Lines>29</Lines>
  <Paragraphs>8</Paragraphs>
  <TotalTime>0</TotalTime>
  <ScaleCrop>false</ScaleCrop>
  <LinksUpToDate>false</LinksUpToDate>
  <CharactersWithSpaces>4152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2017-05-11T10:24:00Z</dcterms:created>
  <dc:creator>cathy-wen</dc:creator>
  <cp:lastModifiedBy>太极箫客</cp:lastModifiedBy>
  <dcterms:modified xsi:type="dcterms:W3CDTF">2025-08-14T07:07:25Z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1998-06-26T00:00:00Z</vt:filetime>
  </property>
  <property fmtid="{D5CDD505-2E9C-101B-9397-08002B2CF9AE}" pid="3" name="LastSaved">
    <vt:filetime>2017-04-17T00:00:00Z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401B9B4712E6496FA37129429A329BE3_12</vt:lpwstr>
  </property>
</Properties>
</file>